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502"/>
        <w:jc w:val="center"/>
        <w:outlineLvl w:val="2"/>
        <w:rPr>
          <w:rFonts w:ascii="微软雅黑" w:hAnsi="微软雅黑" w:eastAsia="微软雅黑" w:cs="宋体"/>
          <w:color w:val="0040A1"/>
          <w:kern w:val="0"/>
          <w:sz w:val="44"/>
          <w:szCs w:val="44"/>
        </w:rPr>
      </w:pPr>
      <w:r>
        <w:rPr>
          <w:rFonts w:hint="eastAsia" w:ascii="微软雅黑" w:hAnsi="微软雅黑" w:eastAsia="微软雅黑" w:cs="宋体"/>
          <w:color w:val="0040A1"/>
          <w:kern w:val="0"/>
          <w:sz w:val="44"/>
          <w:szCs w:val="44"/>
        </w:rPr>
        <w:t>2019年</w:t>
      </w:r>
      <w:r>
        <w:rPr>
          <w:rFonts w:ascii="微软雅黑" w:hAnsi="微软雅黑" w:eastAsia="微软雅黑" w:cs="宋体"/>
          <w:color w:val="0040A1"/>
          <w:kern w:val="0"/>
          <w:sz w:val="44"/>
          <w:szCs w:val="44"/>
        </w:rPr>
        <w:t>4</w:t>
      </w:r>
      <w:r>
        <w:rPr>
          <w:rFonts w:hint="eastAsia" w:ascii="微软雅黑" w:hAnsi="微软雅黑" w:eastAsia="微软雅黑" w:cs="宋体"/>
          <w:color w:val="0040A1"/>
          <w:kern w:val="0"/>
          <w:sz w:val="44"/>
          <w:szCs w:val="44"/>
        </w:rPr>
        <w:t>月济源市征用（收回）土地补偿安置方案公告（轵城长泉村）</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根据国务院（河南省人民政府、济源市人民政府）以 豫政土[2019]48号批准的《征用土地方案》，济源国土资源局经对被征地村（居）征地补偿登记的复核，拟定发《征用（收回）土地补偿安置方案》，根据《中华人民共和国土地管理法》第48条和《中华人民共和国土地管理法实施条例》第25条规定，现将有关内容和事项，公告如下：</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一、土地补偿安置标准</w:t>
      </w:r>
    </w:p>
    <w:tbl>
      <w:tblPr>
        <w:tblStyle w:val="4"/>
        <w:tblW w:w="8336" w:type="dxa"/>
        <w:tblInd w:w="0" w:type="dxa"/>
        <w:tblLayout w:type="fixed"/>
        <w:tblCellMar>
          <w:top w:w="0" w:type="dxa"/>
          <w:left w:w="108" w:type="dxa"/>
          <w:bottom w:w="0" w:type="dxa"/>
          <w:right w:w="108" w:type="dxa"/>
        </w:tblCellMar>
      </w:tblPr>
      <w:tblGrid>
        <w:gridCol w:w="1036"/>
        <w:gridCol w:w="1516"/>
        <w:gridCol w:w="653"/>
        <w:gridCol w:w="702"/>
        <w:gridCol w:w="1074"/>
        <w:gridCol w:w="1697"/>
        <w:gridCol w:w="1035"/>
        <w:gridCol w:w="587"/>
        <w:gridCol w:w="36"/>
      </w:tblGrid>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编号</w:t>
            </w:r>
          </w:p>
        </w:tc>
        <w:tc>
          <w:tcPr>
            <w:tcW w:w="151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被征地村（居）</w:t>
            </w:r>
          </w:p>
        </w:tc>
        <w:tc>
          <w:tcPr>
            <w:tcW w:w="653"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征用的地类</w:t>
            </w:r>
          </w:p>
        </w:tc>
        <w:tc>
          <w:tcPr>
            <w:tcW w:w="702"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面积</w:t>
            </w: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（公顷）</w:t>
            </w:r>
          </w:p>
        </w:tc>
        <w:tc>
          <w:tcPr>
            <w:tcW w:w="1074"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区片综合地价</w:t>
            </w:r>
          </w:p>
        </w:tc>
        <w:tc>
          <w:tcPr>
            <w:tcW w:w="1697"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土地补偿费标准</w:t>
            </w:r>
          </w:p>
        </w:tc>
        <w:tc>
          <w:tcPr>
            <w:tcW w:w="103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安置补助费标准</w:t>
            </w: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jc w:val="left"/>
              <w:rPr>
                <w:rFonts w:eastAsia="宋体" w:cs="宋体"/>
              </w:rPr>
            </w:pP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jc w:val="left"/>
              <w:rPr>
                <w:rFonts w:eastAsia="宋体" w:cs="宋体"/>
              </w:rPr>
            </w:pPr>
          </w:p>
        </w:tc>
        <w:tc>
          <w:tcPr>
            <w:tcW w:w="151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轵城（办事处、集聚区）</w:t>
            </w: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长泉（居）</w:t>
            </w: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望天田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水浇地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sz w:val="28"/>
                <w:szCs w:val="28"/>
              </w:rPr>
            </w:pPr>
            <w:r>
              <w:rPr>
                <w:rFonts w:hint="eastAsia" w:eastAsia="宋体" w:cs="宋体"/>
                <w:sz w:val="28"/>
                <w:szCs w:val="28"/>
              </w:rPr>
              <w:t>0.6954</w:t>
            </w: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旱地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2.4832</w:t>
            </w:r>
          </w:p>
        </w:tc>
        <w:tc>
          <w:tcPr>
            <w:tcW w:w="1074"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菜地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其他土地</w:t>
            </w:r>
          </w:p>
        </w:tc>
        <w:tc>
          <w:tcPr>
            <w:tcW w:w="151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林地</w:t>
            </w: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sz w:val="28"/>
                <w:szCs w:val="28"/>
              </w:rPr>
            </w:pPr>
          </w:p>
        </w:tc>
        <w:tc>
          <w:tcPr>
            <w:tcW w:w="1074" w:type="dxa"/>
            <w:tcMar>
              <w:top w:w="15" w:type="dxa"/>
              <w:left w:w="15" w:type="dxa"/>
              <w:bottom w:w="15" w:type="dxa"/>
              <w:right w:w="15" w:type="dxa"/>
            </w:tcMar>
            <w:vAlign w:val="center"/>
          </w:tcPr>
          <w:p>
            <w:pPr>
              <w:widowControl/>
              <w:jc w:val="left"/>
              <w:rPr>
                <w:rFonts w:eastAsia="宋体" w:cs="宋体"/>
                <w:sz w:val="28"/>
                <w:szCs w:val="28"/>
              </w:rPr>
            </w:pP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园地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sz w:val="28"/>
                <w:szCs w:val="28"/>
              </w:rPr>
            </w:pP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住宅用地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商服用地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水域及水利设施用地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交通用地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r>
              <w:rPr>
                <w:rFonts w:hint="eastAsia" w:eastAsia="宋体" w:cs="宋体"/>
                <w:sz w:val="28"/>
                <w:szCs w:val="28"/>
              </w:rPr>
              <w:t>0.1494</w:t>
            </w: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工矿仓储用地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rPr>
            </w:pPr>
          </w:p>
        </w:tc>
        <w:tc>
          <w:tcPr>
            <w:tcW w:w="1697" w:type="dxa"/>
            <w:tcMar>
              <w:top w:w="15" w:type="dxa"/>
              <w:left w:w="15" w:type="dxa"/>
              <w:bottom w:w="15" w:type="dxa"/>
              <w:right w:w="15" w:type="dxa"/>
            </w:tcMar>
            <w:vAlign w:val="center"/>
          </w:tcPr>
          <w:p>
            <w:pPr>
              <w:widowControl/>
              <w:jc w:val="left"/>
              <w:rPr>
                <w:rFonts w:eastAsia="宋体" w:cs="宋体"/>
              </w:rPr>
            </w:pPr>
          </w:p>
        </w:tc>
        <w:tc>
          <w:tcPr>
            <w:tcW w:w="1035" w:type="dxa"/>
            <w:tcMar>
              <w:top w:w="15" w:type="dxa"/>
              <w:left w:w="15" w:type="dxa"/>
              <w:bottom w:w="15" w:type="dxa"/>
              <w:right w:w="15" w:type="dxa"/>
            </w:tcMar>
            <w:vAlign w:val="center"/>
          </w:tcPr>
          <w:p>
            <w:pPr>
              <w:widowControl/>
              <w:jc w:val="left"/>
              <w:rPr>
                <w:rFonts w:eastAsia="宋体" w:cs="宋体"/>
              </w:rPr>
            </w:pPr>
          </w:p>
        </w:tc>
        <w:tc>
          <w:tcPr>
            <w:tcW w:w="587" w:type="dxa"/>
            <w:tcMar>
              <w:top w:w="15" w:type="dxa"/>
              <w:left w:w="15" w:type="dxa"/>
              <w:bottom w:w="15" w:type="dxa"/>
              <w:right w:w="15" w:type="dxa"/>
            </w:tcMar>
            <w:vAlign w:val="center"/>
          </w:tcPr>
          <w:p>
            <w:pPr>
              <w:widowControl/>
              <w:jc w:val="left"/>
              <w:rPr>
                <w:rFonts w:eastAsia="宋体" w:cs="宋体"/>
              </w:rPr>
            </w:pPr>
          </w:p>
        </w:tc>
        <w:tc>
          <w:tcPr>
            <w:tcW w:w="36"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103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未利用土地</w:t>
            </w:r>
          </w:p>
        </w:tc>
        <w:tc>
          <w:tcPr>
            <w:tcW w:w="1516" w:type="dxa"/>
            <w:tcMar>
              <w:top w:w="15" w:type="dxa"/>
              <w:left w:w="15" w:type="dxa"/>
              <w:bottom w:w="15" w:type="dxa"/>
              <w:right w:w="15" w:type="dxa"/>
            </w:tcMar>
            <w:vAlign w:val="center"/>
          </w:tcPr>
          <w:p>
            <w:pPr>
              <w:widowControl/>
              <w:jc w:val="left"/>
              <w:rPr>
                <w:rFonts w:eastAsia="宋体" w:cs="宋体"/>
              </w:rPr>
            </w:pPr>
          </w:p>
        </w:tc>
        <w:tc>
          <w:tcPr>
            <w:tcW w:w="653" w:type="dxa"/>
            <w:tcMar>
              <w:top w:w="15" w:type="dxa"/>
              <w:left w:w="15" w:type="dxa"/>
              <w:bottom w:w="15" w:type="dxa"/>
              <w:right w:w="15" w:type="dxa"/>
            </w:tcMar>
            <w:vAlign w:val="center"/>
          </w:tcPr>
          <w:p>
            <w:pPr>
              <w:widowControl/>
              <w:jc w:val="left"/>
              <w:rPr>
                <w:rFonts w:eastAsia="宋体" w:cs="宋体"/>
              </w:rPr>
            </w:pPr>
          </w:p>
        </w:tc>
        <w:tc>
          <w:tcPr>
            <w:tcW w:w="702" w:type="dxa"/>
            <w:tcMar>
              <w:top w:w="15" w:type="dxa"/>
              <w:left w:w="15" w:type="dxa"/>
              <w:bottom w:w="15" w:type="dxa"/>
              <w:right w:w="15" w:type="dxa"/>
            </w:tcMar>
            <w:vAlign w:val="center"/>
          </w:tcPr>
          <w:p>
            <w:pPr>
              <w:widowControl/>
              <w:jc w:val="left"/>
              <w:rPr>
                <w:rFonts w:eastAsia="宋体" w:cs="宋体"/>
              </w:rPr>
            </w:pPr>
          </w:p>
        </w:tc>
        <w:tc>
          <w:tcPr>
            <w:tcW w:w="1074" w:type="dxa"/>
            <w:tcMar>
              <w:top w:w="15" w:type="dxa"/>
              <w:left w:w="15" w:type="dxa"/>
              <w:bottom w:w="15" w:type="dxa"/>
              <w:right w:w="15" w:type="dxa"/>
            </w:tcMar>
            <w:vAlign w:val="center"/>
          </w:tcPr>
          <w:p>
            <w:pPr>
              <w:widowControl/>
              <w:jc w:val="left"/>
              <w:rPr>
                <w:rFonts w:eastAsia="宋体" w:cs="宋体"/>
                <w:sz w:val="28"/>
                <w:szCs w:val="28"/>
              </w:rPr>
            </w:pPr>
            <w:r>
              <w:rPr>
                <w:rFonts w:hint="eastAsia" w:ascii="微软雅黑" w:hAnsi="微软雅黑" w:eastAsia="微软雅黑" w:cs="宋体"/>
                <w:kern w:val="0"/>
                <w:sz w:val="27"/>
                <w:szCs w:val="27"/>
              </w:rPr>
              <w:t>2级、83.25万元/公顷</w:t>
            </w:r>
          </w:p>
        </w:tc>
        <w:tc>
          <w:tcPr>
            <w:tcW w:w="169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40%</w:t>
            </w:r>
          </w:p>
        </w:tc>
        <w:tc>
          <w:tcPr>
            <w:tcW w:w="103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60%</w:t>
            </w:r>
          </w:p>
        </w:tc>
        <w:tc>
          <w:tcPr>
            <w:tcW w:w="587"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p>
        </w:tc>
        <w:tc>
          <w:tcPr>
            <w:tcW w:w="36"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二、地上附着物补偿标准</w:t>
      </w:r>
    </w:p>
    <w:tbl>
      <w:tblPr>
        <w:tblStyle w:val="4"/>
        <w:tblW w:w="8336" w:type="dxa"/>
        <w:tblInd w:w="0" w:type="dxa"/>
        <w:tblLayout w:type="fixed"/>
        <w:tblCellMar>
          <w:top w:w="0" w:type="dxa"/>
          <w:left w:w="108" w:type="dxa"/>
          <w:bottom w:w="0" w:type="dxa"/>
          <w:right w:w="108" w:type="dxa"/>
        </w:tblCellMar>
      </w:tblPr>
      <w:tblGrid>
        <w:gridCol w:w="486"/>
        <w:gridCol w:w="5265"/>
        <w:gridCol w:w="486"/>
        <w:gridCol w:w="486"/>
        <w:gridCol w:w="1613"/>
      </w:tblGrid>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编号</w:t>
            </w:r>
          </w:p>
        </w:tc>
        <w:tc>
          <w:tcPr>
            <w:tcW w:w="526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地上附着物名称</w:t>
            </w:r>
          </w:p>
        </w:tc>
        <w:tc>
          <w:tcPr>
            <w:tcW w:w="48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单位</w:t>
            </w:r>
          </w:p>
        </w:tc>
        <w:tc>
          <w:tcPr>
            <w:tcW w:w="486"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规格</w:t>
            </w:r>
          </w:p>
        </w:tc>
        <w:tc>
          <w:tcPr>
            <w:tcW w:w="1613"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补偿标准（元）</w:t>
            </w: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按照济源市人民政府【2018】10号专题会议纪要执行</w:t>
            </w: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486" w:type="dxa"/>
            <w:tcMar>
              <w:top w:w="15" w:type="dxa"/>
              <w:left w:w="15" w:type="dxa"/>
              <w:bottom w:w="15" w:type="dxa"/>
              <w:right w:w="15" w:type="dxa"/>
            </w:tcMar>
            <w:vAlign w:val="center"/>
          </w:tcPr>
          <w:p>
            <w:pPr>
              <w:widowControl/>
              <w:jc w:val="left"/>
              <w:rPr>
                <w:rFonts w:eastAsia="宋体" w:cs="宋体"/>
              </w:rPr>
            </w:pPr>
          </w:p>
        </w:tc>
        <w:tc>
          <w:tcPr>
            <w:tcW w:w="5265"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486" w:type="dxa"/>
            <w:tcMar>
              <w:top w:w="15" w:type="dxa"/>
              <w:left w:w="15" w:type="dxa"/>
              <w:bottom w:w="15" w:type="dxa"/>
              <w:right w:w="15" w:type="dxa"/>
            </w:tcMar>
            <w:vAlign w:val="center"/>
          </w:tcPr>
          <w:p>
            <w:pPr>
              <w:widowControl/>
              <w:jc w:val="left"/>
              <w:rPr>
                <w:rFonts w:eastAsia="宋体" w:cs="宋体"/>
              </w:rPr>
            </w:pPr>
          </w:p>
        </w:tc>
        <w:tc>
          <w:tcPr>
            <w:tcW w:w="1613"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三、青苗补偿标准</w:t>
      </w:r>
    </w:p>
    <w:tbl>
      <w:tblPr>
        <w:tblStyle w:val="4"/>
        <w:tblW w:w="4165" w:type="dxa"/>
        <w:tblInd w:w="0" w:type="dxa"/>
        <w:tblLayout w:type="fixed"/>
        <w:tblCellMar>
          <w:top w:w="0" w:type="dxa"/>
          <w:left w:w="108" w:type="dxa"/>
          <w:bottom w:w="0" w:type="dxa"/>
          <w:right w:w="108" w:type="dxa"/>
        </w:tblCellMar>
      </w:tblPr>
      <w:tblGrid>
        <w:gridCol w:w="510"/>
        <w:gridCol w:w="1230"/>
        <w:gridCol w:w="750"/>
        <w:gridCol w:w="1675"/>
      </w:tblGrid>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编号</w:t>
            </w:r>
          </w:p>
        </w:tc>
        <w:tc>
          <w:tcPr>
            <w:tcW w:w="123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农作物种类</w:t>
            </w:r>
          </w:p>
        </w:tc>
        <w:tc>
          <w:tcPr>
            <w:tcW w:w="75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生长期</w:t>
            </w:r>
          </w:p>
        </w:tc>
        <w:tc>
          <w:tcPr>
            <w:tcW w:w="167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补偿标准</w:t>
            </w: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小麦</w:t>
            </w:r>
          </w:p>
        </w:tc>
        <w:tc>
          <w:tcPr>
            <w:tcW w:w="750"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季</w:t>
            </w:r>
          </w:p>
        </w:tc>
        <w:tc>
          <w:tcPr>
            <w:tcW w:w="167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1.8万元/公顷</w:t>
            </w: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510" w:type="dxa"/>
            <w:tcMar>
              <w:top w:w="15" w:type="dxa"/>
              <w:left w:w="15" w:type="dxa"/>
              <w:bottom w:w="15" w:type="dxa"/>
              <w:right w:w="15" w:type="dxa"/>
            </w:tcMar>
            <w:vAlign w:val="center"/>
          </w:tcPr>
          <w:p>
            <w:pPr>
              <w:widowControl/>
              <w:jc w:val="left"/>
              <w:rPr>
                <w:rFonts w:eastAsia="宋体" w:cs="宋体"/>
              </w:rPr>
            </w:pPr>
          </w:p>
        </w:tc>
        <w:tc>
          <w:tcPr>
            <w:tcW w:w="1230" w:type="dxa"/>
            <w:tcMar>
              <w:top w:w="15" w:type="dxa"/>
              <w:left w:w="15" w:type="dxa"/>
              <w:bottom w:w="15" w:type="dxa"/>
              <w:right w:w="15" w:type="dxa"/>
            </w:tcMar>
            <w:vAlign w:val="center"/>
          </w:tcPr>
          <w:p>
            <w:pPr>
              <w:widowControl/>
              <w:jc w:val="left"/>
              <w:rPr>
                <w:rFonts w:eastAsia="宋体" w:cs="宋体"/>
              </w:rPr>
            </w:pPr>
          </w:p>
        </w:tc>
        <w:tc>
          <w:tcPr>
            <w:tcW w:w="750" w:type="dxa"/>
            <w:tcMar>
              <w:top w:w="15" w:type="dxa"/>
              <w:left w:w="15" w:type="dxa"/>
              <w:bottom w:w="15" w:type="dxa"/>
              <w:right w:w="15" w:type="dxa"/>
            </w:tcMar>
            <w:vAlign w:val="center"/>
          </w:tcPr>
          <w:p>
            <w:pPr>
              <w:widowControl/>
              <w:jc w:val="left"/>
              <w:rPr>
                <w:rFonts w:eastAsia="宋体" w:cs="宋体"/>
              </w:rPr>
            </w:pPr>
          </w:p>
        </w:tc>
        <w:tc>
          <w:tcPr>
            <w:tcW w:w="1675"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四、征地补偿安置费用</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单位：万元</w:t>
      </w:r>
    </w:p>
    <w:tbl>
      <w:tblPr>
        <w:tblStyle w:val="4"/>
        <w:tblW w:w="8336" w:type="dxa"/>
        <w:tblInd w:w="0" w:type="dxa"/>
        <w:tblLayout w:type="fixed"/>
        <w:tblCellMar>
          <w:top w:w="0" w:type="dxa"/>
          <w:left w:w="108" w:type="dxa"/>
          <w:bottom w:w="0" w:type="dxa"/>
          <w:right w:w="108" w:type="dxa"/>
        </w:tblCellMar>
      </w:tblPr>
      <w:tblGrid>
        <w:gridCol w:w="2011"/>
        <w:gridCol w:w="1191"/>
        <w:gridCol w:w="1191"/>
        <w:gridCol w:w="1725"/>
        <w:gridCol w:w="1145"/>
        <w:gridCol w:w="1073"/>
      </w:tblGrid>
      <w:tr>
        <w:tblPrEx>
          <w:tblLayout w:type="fixed"/>
          <w:tblCellMar>
            <w:top w:w="0" w:type="dxa"/>
            <w:left w:w="108" w:type="dxa"/>
            <w:bottom w:w="0" w:type="dxa"/>
            <w:right w:w="108" w:type="dxa"/>
          </w:tblCellMar>
        </w:tblPrEx>
        <w:tc>
          <w:tcPr>
            <w:tcW w:w="2011"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镇（办事处、集聚区）</w:t>
            </w:r>
          </w:p>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村（居）</w:t>
            </w:r>
          </w:p>
        </w:tc>
        <w:tc>
          <w:tcPr>
            <w:tcW w:w="1191"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土地补偿费</w:t>
            </w:r>
          </w:p>
        </w:tc>
        <w:tc>
          <w:tcPr>
            <w:tcW w:w="1191"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安置补助费</w:t>
            </w:r>
          </w:p>
        </w:tc>
        <w:tc>
          <w:tcPr>
            <w:tcW w:w="172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地上附着物补偿费</w:t>
            </w:r>
          </w:p>
        </w:tc>
        <w:tc>
          <w:tcPr>
            <w:tcW w:w="1145"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青苗补偿费</w:t>
            </w:r>
          </w:p>
        </w:tc>
        <w:tc>
          <w:tcPr>
            <w:tcW w:w="1073"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合计</w:t>
            </w:r>
          </w:p>
        </w:tc>
      </w:tr>
      <w:tr>
        <w:tblPrEx>
          <w:tblLayout w:type="fixed"/>
          <w:tblCellMar>
            <w:top w:w="0" w:type="dxa"/>
            <w:left w:w="108" w:type="dxa"/>
            <w:bottom w:w="0" w:type="dxa"/>
            <w:right w:w="108" w:type="dxa"/>
          </w:tblCellMar>
        </w:tblPrEx>
        <w:tc>
          <w:tcPr>
            <w:tcW w:w="2011"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轵城西留养村委会</w:t>
            </w:r>
          </w:p>
        </w:tc>
        <w:tc>
          <w:tcPr>
            <w:tcW w:w="1191"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110.8224</w:t>
            </w:r>
          </w:p>
        </w:tc>
        <w:tc>
          <w:tcPr>
            <w:tcW w:w="1191"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166.2336</w:t>
            </w:r>
          </w:p>
        </w:tc>
        <w:tc>
          <w:tcPr>
            <w:tcW w:w="172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89.8560</w:t>
            </w:r>
          </w:p>
        </w:tc>
        <w:tc>
          <w:tcPr>
            <w:tcW w:w="1145" w:type="dxa"/>
            <w:tcMar>
              <w:top w:w="15" w:type="dxa"/>
              <w:left w:w="15" w:type="dxa"/>
              <w:bottom w:w="15" w:type="dxa"/>
              <w:right w:w="15" w:type="dxa"/>
            </w:tcMar>
            <w:vAlign w:val="center"/>
          </w:tcPr>
          <w:p>
            <w:pPr>
              <w:widowControl/>
              <w:jc w:val="left"/>
              <w:rPr>
                <w:rFonts w:ascii="微软雅黑" w:hAnsi="微软雅黑" w:eastAsia="微软雅黑" w:cs="宋体"/>
                <w:kern w:val="0"/>
                <w:sz w:val="27"/>
                <w:szCs w:val="27"/>
              </w:rPr>
            </w:pPr>
            <w:r>
              <w:rPr>
                <w:rFonts w:hint="eastAsia" w:ascii="微软雅黑" w:hAnsi="微软雅黑" w:eastAsia="微软雅黑" w:cs="宋体"/>
                <w:kern w:val="0"/>
                <w:sz w:val="27"/>
                <w:szCs w:val="27"/>
              </w:rPr>
              <w:t>5.7215</w:t>
            </w:r>
          </w:p>
        </w:tc>
        <w:tc>
          <w:tcPr>
            <w:tcW w:w="1073" w:type="dxa"/>
            <w:tcMar>
              <w:top w:w="15" w:type="dxa"/>
              <w:left w:w="15" w:type="dxa"/>
              <w:bottom w:w="15" w:type="dxa"/>
              <w:right w:w="15" w:type="dxa"/>
            </w:tcMar>
            <w:vAlign w:val="center"/>
          </w:tcPr>
          <w:p>
            <w:pPr>
              <w:widowControl/>
              <w:spacing w:before="100" w:beforeAutospacing="1" w:after="251"/>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372.6335</w:t>
            </w:r>
          </w:p>
        </w:tc>
      </w:tr>
      <w:tr>
        <w:tblPrEx>
          <w:tblLayout w:type="fixed"/>
          <w:tblCellMar>
            <w:top w:w="0" w:type="dxa"/>
            <w:left w:w="108" w:type="dxa"/>
            <w:bottom w:w="0" w:type="dxa"/>
            <w:right w:w="108" w:type="dxa"/>
          </w:tblCellMar>
        </w:tblPrEx>
        <w:tc>
          <w:tcPr>
            <w:tcW w:w="2011" w:type="dxa"/>
            <w:tcMar>
              <w:top w:w="15" w:type="dxa"/>
              <w:left w:w="15" w:type="dxa"/>
              <w:bottom w:w="15" w:type="dxa"/>
              <w:right w:w="15" w:type="dxa"/>
            </w:tcMar>
            <w:vAlign w:val="center"/>
          </w:tcPr>
          <w:p>
            <w:pPr>
              <w:widowControl/>
              <w:jc w:val="left"/>
              <w:rPr>
                <w:rFonts w:eastAsia="宋体" w:cs="宋体"/>
              </w:rPr>
            </w:pPr>
          </w:p>
        </w:tc>
        <w:tc>
          <w:tcPr>
            <w:tcW w:w="1191" w:type="dxa"/>
            <w:tcMar>
              <w:top w:w="15" w:type="dxa"/>
              <w:left w:w="15" w:type="dxa"/>
              <w:bottom w:w="15" w:type="dxa"/>
              <w:right w:w="15" w:type="dxa"/>
            </w:tcMar>
            <w:vAlign w:val="center"/>
          </w:tcPr>
          <w:p>
            <w:pPr>
              <w:widowControl/>
              <w:jc w:val="left"/>
              <w:rPr>
                <w:rFonts w:eastAsia="宋体" w:cs="宋体"/>
              </w:rPr>
            </w:pPr>
          </w:p>
        </w:tc>
        <w:tc>
          <w:tcPr>
            <w:tcW w:w="1191" w:type="dxa"/>
            <w:tcMar>
              <w:top w:w="15" w:type="dxa"/>
              <w:left w:w="15" w:type="dxa"/>
              <w:bottom w:w="15" w:type="dxa"/>
              <w:right w:w="15" w:type="dxa"/>
            </w:tcMar>
            <w:vAlign w:val="center"/>
          </w:tcPr>
          <w:p>
            <w:pPr>
              <w:widowControl/>
              <w:jc w:val="left"/>
              <w:rPr>
                <w:rFonts w:eastAsia="宋体" w:cs="宋体"/>
              </w:rPr>
            </w:pPr>
          </w:p>
        </w:tc>
        <w:tc>
          <w:tcPr>
            <w:tcW w:w="1725" w:type="dxa"/>
            <w:tcMar>
              <w:top w:w="15" w:type="dxa"/>
              <w:left w:w="15" w:type="dxa"/>
              <w:bottom w:w="15" w:type="dxa"/>
              <w:right w:w="15" w:type="dxa"/>
            </w:tcMar>
            <w:vAlign w:val="center"/>
          </w:tcPr>
          <w:p>
            <w:pPr>
              <w:widowControl/>
              <w:jc w:val="left"/>
              <w:rPr>
                <w:rFonts w:eastAsia="宋体" w:cs="宋体"/>
              </w:rPr>
            </w:pPr>
          </w:p>
        </w:tc>
        <w:tc>
          <w:tcPr>
            <w:tcW w:w="1145" w:type="dxa"/>
            <w:tcMar>
              <w:top w:w="15" w:type="dxa"/>
              <w:left w:w="15" w:type="dxa"/>
              <w:bottom w:w="15" w:type="dxa"/>
              <w:right w:w="15" w:type="dxa"/>
            </w:tcMar>
            <w:vAlign w:val="center"/>
          </w:tcPr>
          <w:p>
            <w:pPr>
              <w:widowControl/>
              <w:jc w:val="left"/>
              <w:rPr>
                <w:rFonts w:eastAsia="宋体" w:cs="宋体"/>
              </w:rPr>
            </w:pPr>
          </w:p>
        </w:tc>
        <w:tc>
          <w:tcPr>
            <w:tcW w:w="107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011" w:type="dxa"/>
            <w:tcMar>
              <w:top w:w="15" w:type="dxa"/>
              <w:left w:w="15" w:type="dxa"/>
              <w:bottom w:w="15" w:type="dxa"/>
              <w:right w:w="15" w:type="dxa"/>
            </w:tcMar>
            <w:vAlign w:val="center"/>
          </w:tcPr>
          <w:p>
            <w:pPr>
              <w:widowControl/>
              <w:jc w:val="left"/>
              <w:rPr>
                <w:rFonts w:eastAsia="宋体" w:cs="宋体"/>
              </w:rPr>
            </w:pPr>
          </w:p>
        </w:tc>
        <w:tc>
          <w:tcPr>
            <w:tcW w:w="1191" w:type="dxa"/>
            <w:tcMar>
              <w:top w:w="15" w:type="dxa"/>
              <w:left w:w="15" w:type="dxa"/>
              <w:bottom w:w="15" w:type="dxa"/>
              <w:right w:w="15" w:type="dxa"/>
            </w:tcMar>
            <w:vAlign w:val="center"/>
          </w:tcPr>
          <w:p>
            <w:pPr>
              <w:widowControl/>
              <w:jc w:val="left"/>
              <w:rPr>
                <w:rFonts w:eastAsia="宋体" w:cs="宋体"/>
              </w:rPr>
            </w:pPr>
          </w:p>
        </w:tc>
        <w:tc>
          <w:tcPr>
            <w:tcW w:w="1191" w:type="dxa"/>
            <w:tcMar>
              <w:top w:w="15" w:type="dxa"/>
              <w:left w:w="15" w:type="dxa"/>
              <w:bottom w:w="15" w:type="dxa"/>
              <w:right w:w="15" w:type="dxa"/>
            </w:tcMar>
            <w:vAlign w:val="center"/>
          </w:tcPr>
          <w:p>
            <w:pPr>
              <w:widowControl/>
              <w:jc w:val="left"/>
              <w:rPr>
                <w:rFonts w:eastAsia="宋体" w:cs="宋体"/>
              </w:rPr>
            </w:pPr>
          </w:p>
        </w:tc>
        <w:tc>
          <w:tcPr>
            <w:tcW w:w="1725" w:type="dxa"/>
            <w:tcMar>
              <w:top w:w="15" w:type="dxa"/>
              <w:left w:w="15" w:type="dxa"/>
              <w:bottom w:w="15" w:type="dxa"/>
              <w:right w:w="15" w:type="dxa"/>
            </w:tcMar>
            <w:vAlign w:val="center"/>
          </w:tcPr>
          <w:p>
            <w:pPr>
              <w:widowControl/>
              <w:jc w:val="left"/>
              <w:rPr>
                <w:rFonts w:eastAsia="宋体" w:cs="宋体"/>
              </w:rPr>
            </w:pPr>
          </w:p>
        </w:tc>
        <w:tc>
          <w:tcPr>
            <w:tcW w:w="1145" w:type="dxa"/>
            <w:tcMar>
              <w:top w:w="15" w:type="dxa"/>
              <w:left w:w="15" w:type="dxa"/>
              <w:bottom w:w="15" w:type="dxa"/>
              <w:right w:w="15" w:type="dxa"/>
            </w:tcMar>
            <w:vAlign w:val="center"/>
          </w:tcPr>
          <w:p>
            <w:pPr>
              <w:widowControl/>
              <w:jc w:val="left"/>
              <w:rPr>
                <w:rFonts w:eastAsia="宋体" w:cs="宋体"/>
              </w:rPr>
            </w:pPr>
          </w:p>
        </w:tc>
        <w:tc>
          <w:tcPr>
            <w:tcW w:w="107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011" w:type="dxa"/>
            <w:tcMar>
              <w:top w:w="15" w:type="dxa"/>
              <w:left w:w="15" w:type="dxa"/>
              <w:bottom w:w="15" w:type="dxa"/>
              <w:right w:w="15" w:type="dxa"/>
            </w:tcMar>
            <w:vAlign w:val="center"/>
          </w:tcPr>
          <w:p>
            <w:pPr>
              <w:widowControl/>
              <w:jc w:val="left"/>
              <w:rPr>
                <w:rFonts w:eastAsia="宋体" w:cs="宋体"/>
              </w:rPr>
            </w:pPr>
          </w:p>
        </w:tc>
        <w:tc>
          <w:tcPr>
            <w:tcW w:w="1191" w:type="dxa"/>
            <w:tcMar>
              <w:top w:w="15" w:type="dxa"/>
              <w:left w:w="15" w:type="dxa"/>
              <w:bottom w:w="15" w:type="dxa"/>
              <w:right w:w="15" w:type="dxa"/>
            </w:tcMar>
            <w:vAlign w:val="center"/>
          </w:tcPr>
          <w:p>
            <w:pPr>
              <w:widowControl/>
              <w:jc w:val="left"/>
              <w:rPr>
                <w:rFonts w:eastAsia="宋体" w:cs="宋体"/>
              </w:rPr>
            </w:pPr>
          </w:p>
        </w:tc>
        <w:tc>
          <w:tcPr>
            <w:tcW w:w="1191" w:type="dxa"/>
            <w:tcMar>
              <w:top w:w="15" w:type="dxa"/>
              <w:left w:w="15" w:type="dxa"/>
              <w:bottom w:w="15" w:type="dxa"/>
              <w:right w:w="15" w:type="dxa"/>
            </w:tcMar>
            <w:vAlign w:val="center"/>
          </w:tcPr>
          <w:p>
            <w:pPr>
              <w:widowControl/>
              <w:jc w:val="left"/>
              <w:rPr>
                <w:rFonts w:eastAsia="宋体" w:cs="宋体"/>
              </w:rPr>
            </w:pPr>
          </w:p>
        </w:tc>
        <w:tc>
          <w:tcPr>
            <w:tcW w:w="1725" w:type="dxa"/>
            <w:tcMar>
              <w:top w:w="15" w:type="dxa"/>
              <w:left w:w="15" w:type="dxa"/>
              <w:bottom w:w="15" w:type="dxa"/>
              <w:right w:w="15" w:type="dxa"/>
            </w:tcMar>
            <w:vAlign w:val="center"/>
          </w:tcPr>
          <w:p>
            <w:pPr>
              <w:widowControl/>
              <w:jc w:val="left"/>
              <w:rPr>
                <w:rFonts w:eastAsia="宋体" w:cs="宋体"/>
              </w:rPr>
            </w:pPr>
          </w:p>
        </w:tc>
        <w:tc>
          <w:tcPr>
            <w:tcW w:w="1145" w:type="dxa"/>
            <w:tcMar>
              <w:top w:w="15" w:type="dxa"/>
              <w:left w:w="15" w:type="dxa"/>
              <w:bottom w:w="15" w:type="dxa"/>
              <w:right w:w="15" w:type="dxa"/>
            </w:tcMar>
            <w:vAlign w:val="center"/>
          </w:tcPr>
          <w:p>
            <w:pPr>
              <w:widowControl/>
              <w:jc w:val="left"/>
              <w:rPr>
                <w:rFonts w:eastAsia="宋体" w:cs="宋体"/>
              </w:rPr>
            </w:pPr>
          </w:p>
        </w:tc>
        <w:tc>
          <w:tcPr>
            <w:tcW w:w="107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011" w:type="dxa"/>
            <w:tcMar>
              <w:top w:w="15" w:type="dxa"/>
              <w:left w:w="15" w:type="dxa"/>
              <w:bottom w:w="15" w:type="dxa"/>
              <w:right w:w="15" w:type="dxa"/>
            </w:tcMar>
            <w:vAlign w:val="center"/>
          </w:tcPr>
          <w:p>
            <w:pPr>
              <w:widowControl/>
              <w:jc w:val="left"/>
              <w:rPr>
                <w:rFonts w:eastAsia="宋体" w:cs="宋体"/>
              </w:rPr>
            </w:pPr>
          </w:p>
        </w:tc>
        <w:tc>
          <w:tcPr>
            <w:tcW w:w="1191" w:type="dxa"/>
            <w:tcMar>
              <w:top w:w="15" w:type="dxa"/>
              <w:left w:w="15" w:type="dxa"/>
              <w:bottom w:w="15" w:type="dxa"/>
              <w:right w:w="15" w:type="dxa"/>
            </w:tcMar>
            <w:vAlign w:val="center"/>
          </w:tcPr>
          <w:p>
            <w:pPr>
              <w:widowControl/>
              <w:jc w:val="left"/>
              <w:rPr>
                <w:rFonts w:eastAsia="宋体" w:cs="宋体"/>
              </w:rPr>
            </w:pPr>
          </w:p>
        </w:tc>
        <w:tc>
          <w:tcPr>
            <w:tcW w:w="1191" w:type="dxa"/>
            <w:tcMar>
              <w:top w:w="15" w:type="dxa"/>
              <w:left w:w="15" w:type="dxa"/>
              <w:bottom w:w="15" w:type="dxa"/>
              <w:right w:w="15" w:type="dxa"/>
            </w:tcMar>
            <w:vAlign w:val="center"/>
          </w:tcPr>
          <w:p>
            <w:pPr>
              <w:widowControl/>
              <w:jc w:val="left"/>
              <w:rPr>
                <w:rFonts w:eastAsia="宋体" w:cs="宋体"/>
              </w:rPr>
            </w:pPr>
          </w:p>
        </w:tc>
        <w:tc>
          <w:tcPr>
            <w:tcW w:w="1725" w:type="dxa"/>
            <w:tcMar>
              <w:top w:w="15" w:type="dxa"/>
              <w:left w:w="15" w:type="dxa"/>
              <w:bottom w:w="15" w:type="dxa"/>
              <w:right w:w="15" w:type="dxa"/>
            </w:tcMar>
            <w:vAlign w:val="center"/>
          </w:tcPr>
          <w:p>
            <w:pPr>
              <w:widowControl/>
              <w:jc w:val="left"/>
              <w:rPr>
                <w:rFonts w:eastAsia="宋体" w:cs="宋体"/>
              </w:rPr>
            </w:pPr>
          </w:p>
        </w:tc>
        <w:tc>
          <w:tcPr>
            <w:tcW w:w="1145" w:type="dxa"/>
            <w:tcMar>
              <w:top w:w="15" w:type="dxa"/>
              <w:left w:w="15" w:type="dxa"/>
              <w:bottom w:w="15" w:type="dxa"/>
              <w:right w:w="15" w:type="dxa"/>
            </w:tcMar>
            <w:vAlign w:val="center"/>
          </w:tcPr>
          <w:p>
            <w:pPr>
              <w:widowControl/>
              <w:jc w:val="left"/>
              <w:rPr>
                <w:rFonts w:eastAsia="宋体" w:cs="宋体"/>
              </w:rPr>
            </w:pPr>
          </w:p>
        </w:tc>
        <w:tc>
          <w:tcPr>
            <w:tcW w:w="1073" w:type="dxa"/>
            <w:tcMar>
              <w:top w:w="15" w:type="dxa"/>
              <w:left w:w="15" w:type="dxa"/>
              <w:bottom w:w="15" w:type="dxa"/>
              <w:right w:w="15" w:type="dxa"/>
            </w:tcMar>
            <w:vAlign w:val="center"/>
          </w:tcPr>
          <w:p>
            <w:pPr>
              <w:widowControl/>
              <w:jc w:val="left"/>
              <w:rPr>
                <w:rFonts w:eastAsia="宋体" w:cs="宋体"/>
              </w:rPr>
            </w:pPr>
          </w:p>
        </w:tc>
      </w:tr>
      <w:tr>
        <w:tblPrEx>
          <w:tblLayout w:type="fixed"/>
        </w:tblPrEx>
        <w:tc>
          <w:tcPr>
            <w:tcW w:w="2011" w:type="dxa"/>
            <w:tcMar>
              <w:top w:w="15" w:type="dxa"/>
              <w:left w:w="15" w:type="dxa"/>
              <w:bottom w:w="15" w:type="dxa"/>
              <w:right w:w="15" w:type="dxa"/>
            </w:tcMar>
            <w:vAlign w:val="center"/>
          </w:tcPr>
          <w:p>
            <w:pPr>
              <w:widowControl/>
              <w:jc w:val="left"/>
              <w:rPr>
                <w:rFonts w:eastAsia="宋体" w:cs="宋体"/>
              </w:rPr>
            </w:pPr>
          </w:p>
        </w:tc>
        <w:tc>
          <w:tcPr>
            <w:tcW w:w="1191" w:type="dxa"/>
            <w:tcMar>
              <w:top w:w="15" w:type="dxa"/>
              <w:left w:w="15" w:type="dxa"/>
              <w:bottom w:w="15" w:type="dxa"/>
              <w:right w:w="15" w:type="dxa"/>
            </w:tcMar>
            <w:vAlign w:val="center"/>
          </w:tcPr>
          <w:p>
            <w:pPr>
              <w:widowControl/>
              <w:jc w:val="left"/>
              <w:rPr>
                <w:rFonts w:eastAsia="宋体" w:cs="宋体"/>
              </w:rPr>
            </w:pPr>
          </w:p>
        </w:tc>
        <w:tc>
          <w:tcPr>
            <w:tcW w:w="1191" w:type="dxa"/>
            <w:tcMar>
              <w:top w:w="15" w:type="dxa"/>
              <w:left w:w="15" w:type="dxa"/>
              <w:bottom w:w="15" w:type="dxa"/>
              <w:right w:w="15" w:type="dxa"/>
            </w:tcMar>
            <w:vAlign w:val="center"/>
          </w:tcPr>
          <w:p>
            <w:pPr>
              <w:widowControl/>
              <w:jc w:val="left"/>
              <w:rPr>
                <w:rFonts w:eastAsia="宋体" w:cs="宋体"/>
              </w:rPr>
            </w:pPr>
          </w:p>
        </w:tc>
        <w:tc>
          <w:tcPr>
            <w:tcW w:w="1725" w:type="dxa"/>
            <w:tcMar>
              <w:top w:w="15" w:type="dxa"/>
              <w:left w:w="15" w:type="dxa"/>
              <w:bottom w:w="15" w:type="dxa"/>
              <w:right w:w="15" w:type="dxa"/>
            </w:tcMar>
            <w:vAlign w:val="center"/>
          </w:tcPr>
          <w:p>
            <w:pPr>
              <w:widowControl/>
              <w:jc w:val="left"/>
              <w:rPr>
                <w:rFonts w:eastAsia="宋体" w:cs="宋体"/>
              </w:rPr>
            </w:pPr>
          </w:p>
        </w:tc>
        <w:tc>
          <w:tcPr>
            <w:tcW w:w="1145" w:type="dxa"/>
            <w:tcMar>
              <w:top w:w="15" w:type="dxa"/>
              <w:left w:w="15" w:type="dxa"/>
              <w:bottom w:w="15" w:type="dxa"/>
              <w:right w:w="15" w:type="dxa"/>
            </w:tcMar>
            <w:vAlign w:val="center"/>
          </w:tcPr>
          <w:p>
            <w:pPr>
              <w:widowControl/>
              <w:jc w:val="left"/>
              <w:rPr>
                <w:rFonts w:eastAsia="宋体" w:cs="宋体"/>
              </w:rPr>
            </w:pPr>
          </w:p>
        </w:tc>
        <w:tc>
          <w:tcPr>
            <w:tcW w:w="1073" w:type="dxa"/>
            <w:tcMar>
              <w:top w:w="15" w:type="dxa"/>
              <w:left w:w="15" w:type="dxa"/>
              <w:bottom w:w="15" w:type="dxa"/>
              <w:right w:w="15" w:type="dxa"/>
            </w:tcMar>
            <w:vAlign w:val="center"/>
          </w:tcPr>
          <w:p>
            <w:pPr>
              <w:widowControl/>
              <w:jc w:val="left"/>
              <w:rPr>
                <w:rFonts w:eastAsia="宋体" w:cs="宋体"/>
              </w:rPr>
            </w:pPr>
          </w:p>
        </w:tc>
      </w:tr>
      <w:tr>
        <w:tblPrEx>
          <w:tblLayout w:type="fixed"/>
          <w:tblCellMar>
            <w:top w:w="0" w:type="dxa"/>
            <w:left w:w="108" w:type="dxa"/>
            <w:bottom w:w="0" w:type="dxa"/>
            <w:right w:w="108" w:type="dxa"/>
          </w:tblCellMar>
        </w:tblPrEx>
        <w:tc>
          <w:tcPr>
            <w:tcW w:w="2011" w:type="dxa"/>
            <w:tcMar>
              <w:top w:w="15" w:type="dxa"/>
              <w:left w:w="15" w:type="dxa"/>
              <w:bottom w:w="15" w:type="dxa"/>
              <w:right w:w="15" w:type="dxa"/>
            </w:tcMar>
            <w:vAlign w:val="center"/>
          </w:tcPr>
          <w:p>
            <w:pPr>
              <w:widowControl/>
              <w:jc w:val="left"/>
              <w:rPr>
                <w:rFonts w:eastAsia="宋体" w:cs="宋体"/>
              </w:rPr>
            </w:pPr>
          </w:p>
        </w:tc>
        <w:tc>
          <w:tcPr>
            <w:tcW w:w="1191" w:type="dxa"/>
            <w:tcMar>
              <w:top w:w="15" w:type="dxa"/>
              <w:left w:w="15" w:type="dxa"/>
              <w:bottom w:w="15" w:type="dxa"/>
              <w:right w:w="15" w:type="dxa"/>
            </w:tcMar>
            <w:vAlign w:val="center"/>
          </w:tcPr>
          <w:p>
            <w:pPr>
              <w:widowControl/>
              <w:jc w:val="left"/>
              <w:rPr>
                <w:rFonts w:eastAsia="宋体" w:cs="宋体"/>
              </w:rPr>
            </w:pPr>
          </w:p>
        </w:tc>
        <w:tc>
          <w:tcPr>
            <w:tcW w:w="1191" w:type="dxa"/>
            <w:tcMar>
              <w:top w:w="15" w:type="dxa"/>
              <w:left w:w="15" w:type="dxa"/>
              <w:bottom w:w="15" w:type="dxa"/>
              <w:right w:w="15" w:type="dxa"/>
            </w:tcMar>
            <w:vAlign w:val="center"/>
          </w:tcPr>
          <w:p>
            <w:pPr>
              <w:widowControl/>
              <w:jc w:val="left"/>
              <w:rPr>
                <w:rFonts w:eastAsia="宋体" w:cs="宋体"/>
              </w:rPr>
            </w:pPr>
          </w:p>
        </w:tc>
        <w:tc>
          <w:tcPr>
            <w:tcW w:w="1725" w:type="dxa"/>
            <w:tcMar>
              <w:top w:w="15" w:type="dxa"/>
              <w:left w:w="15" w:type="dxa"/>
              <w:bottom w:w="15" w:type="dxa"/>
              <w:right w:w="15" w:type="dxa"/>
            </w:tcMar>
            <w:vAlign w:val="center"/>
          </w:tcPr>
          <w:p>
            <w:pPr>
              <w:widowControl/>
              <w:jc w:val="left"/>
              <w:rPr>
                <w:rFonts w:eastAsia="宋体" w:cs="宋体"/>
              </w:rPr>
            </w:pPr>
          </w:p>
        </w:tc>
        <w:tc>
          <w:tcPr>
            <w:tcW w:w="1145" w:type="dxa"/>
            <w:tcMar>
              <w:top w:w="15" w:type="dxa"/>
              <w:left w:w="15" w:type="dxa"/>
              <w:bottom w:w="15" w:type="dxa"/>
              <w:right w:w="15" w:type="dxa"/>
            </w:tcMar>
            <w:vAlign w:val="center"/>
          </w:tcPr>
          <w:p>
            <w:pPr>
              <w:widowControl/>
              <w:jc w:val="left"/>
              <w:rPr>
                <w:rFonts w:eastAsia="宋体" w:cs="宋体"/>
              </w:rPr>
            </w:pPr>
          </w:p>
        </w:tc>
        <w:tc>
          <w:tcPr>
            <w:tcW w:w="1073" w:type="dxa"/>
            <w:tcMar>
              <w:top w:w="15" w:type="dxa"/>
              <w:left w:w="15" w:type="dxa"/>
              <w:bottom w:w="15" w:type="dxa"/>
              <w:right w:w="15" w:type="dxa"/>
            </w:tcMar>
            <w:vAlign w:val="center"/>
          </w:tcPr>
          <w:p>
            <w:pPr>
              <w:widowControl/>
              <w:jc w:val="left"/>
              <w:rPr>
                <w:rFonts w:eastAsia="宋体" w:cs="宋体"/>
              </w:rPr>
            </w:pPr>
          </w:p>
        </w:tc>
      </w:tr>
    </w:tbl>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五、农业人口安置办法 安置补助费以货币形式支付给村委会由村委会自行安置。</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六、其他：</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七、被征用土地四至范围内的土地所有权人和土地使用权人对本方案内容如有不同意见，请于2019年4月14日前以村委会（村集体经济组织）或村民小组为单位，以书面形式送达济源市国土资源局、济源市征地事务所。</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联系人：赵先生 联系电话：0391-6611625 6612552</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八、本方案在征求意见后，报济源市人民政府批准组织实施。根据《中华人民共和国土地管理法实施条例》第25条的规定，对批准后的《征用（收回）土地补偿安置方案》有争议，不影响组织实施。</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特此公告</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济源市国土资源局</w:t>
      </w:r>
    </w:p>
    <w:p>
      <w:pPr>
        <w:widowControl/>
        <w:shd w:val="clear" w:color="auto" w:fill="FFFFFF"/>
        <w:spacing w:before="100" w:beforeAutospacing="1" w:after="251" w:line="603"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2019年4月2日</w:t>
      </w:r>
    </w:p>
    <w:p/>
    <w:p/>
    <w:p/>
    <w:p/>
    <w:p/>
    <w:p/>
    <w:p/>
    <w:p/>
    <w:p/>
    <w:p/>
    <w:p/>
    <w:p/>
    <w:p/>
    <w:p/>
    <w:p/>
    <w:p/>
    <w:p/>
    <w:p/>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7AE7"/>
    <w:rsid w:val="00001587"/>
    <w:rsid w:val="001F2F40"/>
    <w:rsid w:val="00432413"/>
    <w:rsid w:val="00457AE7"/>
    <w:rsid w:val="00532EB4"/>
    <w:rsid w:val="0078596E"/>
    <w:rsid w:val="009158BA"/>
    <w:rsid w:val="009D7127"/>
    <w:rsid w:val="00B201D9"/>
    <w:rsid w:val="00CF3C44"/>
    <w:rsid w:val="00D859F4"/>
    <w:rsid w:val="00E14612"/>
    <w:rsid w:val="00ED028E"/>
    <w:rsid w:val="00EF2BAD"/>
    <w:rsid w:val="00F13E6E"/>
    <w:rsid w:val="645F1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Words>
  <Characters>1044</Characters>
  <Lines>8</Lines>
  <Paragraphs>2</Paragraphs>
  <TotalTime>0</TotalTime>
  <ScaleCrop>false</ScaleCrop>
  <LinksUpToDate>false</LinksUpToDate>
  <CharactersWithSpaces>1225</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2019-07-04T07:31:00Z</dcterms:created>
  <dc:creator>Wwn</dc:creator>
  <cp:lastModifiedBy>贺诗涵</cp:lastModifiedBy>
  <dcterms:modified xsi:type="dcterms:W3CDTF">2019-07-18T09:38:01Z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