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1AD" w:rsidRDefault="0090074D">
      <w:pPr>
        <w:spacing w:line="560" w:lineRule="atLeast"/>
        <w:jc w:val="center"/>
        <w:rPr>
          <w:rStyle w:val="a3"/>
          <w:rFonts w:ascii="黑体" w:eastAsia="黑体" w:hAnsi="黑体"/>
          <w:b w:val="0"/>
          <w:color w:val="333333"/>
          <w:kern w:val="0"/>
          <w:sz w:val="44"/>
          <w:szCs w:val="44"/>
        </w:rPr>
      </w:pPr>
      <w:r w:rsidRPr="004F51AD">
        <w:rPr>
          <w:rStyle w:val="a3"/>
          <w:rFonts w:ascii="黑体" w:eastAsia="黑体" w:hAnsi="黑体"/>
          <w:b w:val="0"/>
          <w:color w:val="333333"/>
          <w:kern w:val="0"/>
          <w:sz w:val="44"/>
          <w:szCs w:val="44"/>
        </w:rPr>
        <w:t>济源市建设用地使用权转让、出租、抵押</w:t>
      </w:r>
    </w:p>
    <w:p w:rsidR="00005A48" w:rsidRPr="004F51AD" w:rsidRDefault="0090074D">
      <w:pPr>
        <w:spacing w:line="560" w:lineRule="atLeast"/>
        <w:jc w:val="center"/>
        <w:rPr>
          <w:rStyle w:val="a3"/>
          <w:rFonts w:ascii="黑体" w:eastAsia="黑体" w:hAnsi="黑体"/>
          <w:b w:val="0"/>
          <w:color w:val="333333"/>
          <w:kern w:val="0"/>
          <w:sz w:val="44"/>
          <w:szCs w:val="44"/>
        </w:rPr>
      </w:pPr>
      <w:r w:rsidRPr="004F51AD">
        <w:rPr>
          <w:rStyle w:val="a3"/>
          <w:rFonts w:ascii="黑体" w:eastAsia="黑体" w:hAnsi="黑体"/>
          <w:b w:val="0"/>
          <w:color w:val="333333"/>
          <w:kern w:val="0"/>
          <w:sz w:val="44"/>
          <w:szCs w:val="44"/>
        </w:rPr>
        <w:t>二级市场管理办法(试行)</w:t>
      </w:r>
    </w:p>
    <w:p w:rsidR="004F51AD" w:rsidRPr="004F51AD" w:rsidRDefault="004F51AD">
      <w:pPr>
        <w:spacing w:line="560" w:lineRule="atLeast"/>
        <w:jc w:val="center"/>
        <w:rPr>
          <w:rStyle w:val="a3"/>
          <w:rFonts w:ascii="黑体" w:eastAsia="黑体" w:hAnsi="黑体"/>
          <w:b w:val="0"/>
          <w:color w:val="333333"/>
          <w:kern w:val="0"/>
          <w:sz w:val="32"/>
          <w:szCs w:val="32"/>
        </w:rPr>
      </w:pPr>
      <w:r w:rsidRPr="004F51AD">
        <w:rPr>
          <w:rStyle w:val="a3"/>
          <w:rFonts w:ascii="黑体" w:eastAsia="黑体" w:hAnsi="黑体" w:hint="eastAsia"/>
          <w:b w:val="0"/>
          <w:color w:val="333333"/>
          <w:kern w:val="0"/>
          <w:sz w:val="32"/>
          <w:szCs w:val="32"/>
        </w:rPr>
        <w:t>(征求意见稿)</w:t>
      </w:r>
    </w:p>
    <w:p w:rsidR="00005A48" w:rsidRPr="00624590" w:rsidRDefault="0090074D">
      <w:pPr>
        <w:spacing w:line="560" w:lineRule="atLeast"/>
        <w:jc w:val="center"/>
        <w:rPr>
          <w:rStyle w:val="a3"/>
          <w:rFonts w:ascii="仿宋" w:eastAsia="仿宋" w:hAnsi="仿宋"/>
          <w:color w:val="333333"/>
          <w:kern w:val="0"/>
          <w:sz w:val="32"/>
          <w:szCs w:val="32"/>
        </w:rPr>
      </w:pPr>
      <w:r w:rsidRPr="00624590">
        <w:rPr>
          <w:rStyle w:val="a3"/>
          <w:rFonts w:ascii="仿宋" w:eastAsia="仿宋" w:hAnsi="仿宋"/>
          <w:color w:val="333333"/>
          <w:kern w:val="0"/>
          <w:sz w:val="32"/>
          <w:szCs w:val="32"/>
        </w:rPr>
        <w:t>第一章 总 则</w:t>
      </w:r>
    </w:p>
    <w:p w:rsidR="00005A48" w:rsidRPr="004F51AD" w:rsidRDefault="0090074D" w:rsidP="00B1576A">
      <w:pPr>
        <w:spacing w:line="560" w:lineRule="exact"/>
        <w:ind w:firstLineChars="200" w:firstLine="602"/>
        <w:rPr>
          <w:rStyle w:val="NormalCharacter"/>
          <w:rFonts w:ascii="仿宋" w:eastAsia="仿宋" w:hAnsi="仿宋"/>
          <w:color w:val="333333"/>
          <w:kern w:val="0"/>
          <w:sz w:val="30"/>
          <w:szCs w:val="30"/>
        </w:rPr>
      </w:pPr>
      <w:r w:rsidRPr="0019320A">
        <w:rPr>
          <w:rStyle w:val="NormalCharacter"/>
          <w:rFonts w:ascii="仿宋" w:eastAsia="仿宋" w:hAnsi="仿宋"/>
          <w:b/>
          <w:color w:val="333333"/>
          <w:kern w:val="0"/>
          <w:sz w:val="30"/>
          <w:szCs w:val="30"/>
        </w:rPr>
        <w:t>第一条</w:t>
      </w:r>
      <w:r w:rsidRPr="004F51AD">
        <w:rPr>
          <w:rStyle w:val="NormalCharacter"/>
          <w:rFonts w:ascii="仿宋" w:eastAsia="仿宋" w:hAnsi="仿宋"/>
          <w:color w:val="333333"/>
          <w:kern w:val="0"/>
          <w:sz w:val="30"/>
          <w:szCs w:val="30"/>
        </w:rPr>
        <w:t xml:space="preserve"> 为进一步规范完善我市国有建设用地使用权转让、出租、抵押二级市场管理，根据《国务院办公厅关于完善建设用地使用权转让、出租、抵押二级市场的指导意见》（国办发〔2019〕34号）和《河南省人民政府办公厅关于完善建设用地使用权转让、出租、抵押二级市场的实施意见》（豫政办〔2021〕27号）等规定，结合我市实际，制定本办法。</w:t>
      </w:r>
    </w:p>
    <w:p w:rsidR="00005A48" w:rsidRPr="004F51AD" w:rsidRDefault="0090074D" w:rsidP="00B1576A">
      <w:pPr>
        <w:spacing w:line="560" w:lineRule="exact"/>
        <w:ind w:firstLineChars="200" w:firstLine="602"/>
        <w:rPr>
          <w:rFonts w:ascii="仿宋" w:eastAsia="仿宋" w:hAnsi="仿宋"/>
          <w:color w:val="333333"/>
          <w:sz w:val="30"/>
          <w:szCs w:val="30"/>
        </w:rPr>
      </w:pPr>
      <w:r w:rsidRPr="0019320A">
        <w:rPr>
          <w:rStyle w:val="NormalCharacter"/>
          <w:rFonts w:ascii="仿宋" w:eastAsia="仿宋" w:hAnsi="仿宋"/>
          <w:b/>
          <w:color w:val="333333"/>
          <w:kern w:val="0"/>
          <w:sz w:val="30"/>
          <w:szCs w:val="30"/>
        </w:rPr>
        <w:t>第二条</w:t>
      </w:r>
      <w:r w:rsidRPr="004F51AD">
        <w:rPr>
          <w:rStyle w:val="NormalCharacter"/>
          <w:rFonts w:ascii="仿宋" w:eastAsia="仿宋" w:hAnsi="仿宋"/>
          <w:color w:val="333333"/>
          <w:kern w:val="0"/>
          <w:sz w:val="30"/>
          <w:szCs w:val="30"/>
        </w:rPr>
        <w:t xml:space="preserve"> 本办法适用于本行政区域范围内的建设用地使用权转让、出租、抵押管理。建设用地使用权转让、出租、抵押二级市场的交易对象是国有建设用地使用权，重点针对土地交易以及土地连同地上建筑物、其它附着物等整宗地一并交易等情况。涉及到房地产交易的，应当遵守《中华人民共和国城市房地产管理法》《城市房地产开发经营管理条例》等法律法规规定。</w:t>
      </w:r>
    </w:p>
    <w:p w:rsidR="00005A48" w:rsidRPr="004F51AD" w:rsidRDefault="0090074D" w:rsidP="00B1576A">
      <w:pPr>
        <w:spacing w:line="560" w:lineRule="exact"/>
        <w:ind w:firstLineChars="200" w:firstLine="600"/>
        <w:rPr>
          <w:rFonts w:ascii="仿宋" w:eastAsia="仿宋" w:hAnsi="仿宋"/>
          <w:color w:val="333333"/>
          <w:sz w:val="30"/>
          <w:szCs w:val="30"/>
        </w:rPr>
      </w:pPr>
      <w:r w:rsidRPr="004F51AD">
        <w:rPr>
          <w:rStyle w:val="NormalCharacter"/>
          <w:rFonts w:ascii="仿宋" w:eastAsia="仿宋" w:hAnsi="仿宋"/>
          <w:color w:val="333333"/>
          <w:kern w:val="0"/>
          <w:sz w:val="30"/>
          <w:szCs w:val="30"/>
        </w:rPr>
        <w:t>已依法入市的农村集体经营性建设用地使用权转让、出租、抵押，可参照本办法执行。</w:t>
      </w:r>
    </w:p>
    <w:p w:rsidR="00005A48" w:rsidRPr="004F51AD" w:rsidRDefault="0090074D" w:rsidP="00B1576A">
      <w:pPr>
        <w:spacing w:line="560" w:lineRule="exact"/>
        <w:ind w:firstLineChars="200" w:firstLine="600"/>
        <w:rPr>
          <w:rStyle w:val="NormalCharacter"/>
          <w:rFonts w:ascii="仿宋" w:eastAsia="仿宋" w:hAnsi="仿宋"/>
          <w:color w:val="333333"/>
          <w:kern w:val="0"/>
          <w:sz w:val="30"/>
          <w:szCs w:val="30"/>
        </w:rPr>
      </w:pPr>
      <w:r w:rsidRPr="004F51AD">
        <w:rPr>
          <w:rFonts w:ascii="仿宋" w:eastAsia="仿宋" w:hAnsi="仿宋"/>
          <w:color w:val="333333"/>
          <w:sz w:val="30"/>
          <w:szCs w:val="30"/>
          <w:highlight w:val="white"/>
        </w:rPr>
        <w:t>国家法律、法规、政策另有规定的，从其规定。</w:t>
      </w:r>
    </w:p>
    <w:p w:rsidR="00005A48" w:rsidRPr="004F51AD" w:rsidRDefault="0090074D" w:rsidP="00B1576A">
      <w:pPr>
        <w:spacing w:line="560" w:lineRule="exact"/>
        <w:ind w:firstLine="641"/>
        <w:rPr>
          <w:rFonts w:ascii="仿宋" w:eastAsia="仿宋" w:hAnsi="仿宋"/>
          <w:color w:val="333333"/>
          <w:sz w:val="30"/>
          <w:szCs w:val="30"/>
        </w:rPr>
      </w:pPr>
      <w:r w:rsidRPr="0019320A">
        <w:rPr>
          <w:rStyle w:val="NormalCharacter"/>
          <w:rFonts w:ascii="仿宋" w:eastAsia="仿宋" w:hAnsi="仿宋"/>
          <w:b/>
          <w:color w:val="333333"/>
          <w:kern w:val="0"/>
          <w:sz w:val="30"/>
          <w:szCs w:val="30"/>
        </w:rPr>
        <w:t>第三条</w:t>
      </w:r>
      <w:r w:rsidRPr="004F51AD">
        <w:rPr>
          <w:rStyle w:val="NormalCharacter"/>
          <w:rFonts w:ascii="仿宋" w:eastAsia="仿宋" w:hAnsi="仿宋"/>
          <w:color w:val="333333"/>
          <w:kern w:val="0"/>
          <w:sz w:val="30"/>
          <w:szCs w:val="30"/>
        </w:rPr>
        <w:t xml:space="preserve"> </w:t>
      </w:r>
      <w:r w:rsidRPr="004F51AD">
        <w:rPr>
          <w:rFonts w:ascii="仿宋" w:eastAsia="仿宋" w:hAnsi="仿宋"/>
          <w:color w:val="333333"/>
          <w:sz w:val="30"/>
          <w:szCs w:val="30"/>
          <w:highlight w:val="white"/>
        </w:rPr>
        <w:t>建立城乡统一的土地二级市场线上交易平台，与土地一级市场信息化系统、不动产登记信息系统的数据和功能衔接，实现信息发布、挂牌竞价、合同签订以及交易事项受理、审核、监管等功能。市自然资源主管部门在现有的土地交易机构或平台基础上搭建土地二级市场实体交易机构，为交易双方提供交易场所和一站式服务。</w:t>
      </w:r>
    </w:p>
    <w:p w:rsidR="00005A48" w:rsidRPr="004F51AD" w:rsidRDefault="0090074D" w:rsidP="00DD47DA">
      <w:pPr>
        <w:spacing w:line="560" w:lineRule="exact"/>
        <w:ind w:firstLineChars="200" w:firstLine="602"/>
        <w:jc w:val="left"/>
        <w:rPr>
          <w:rFonts w:ascii="仿宋" w:eastAsia="仿宋" w:hAnsi="仿宋"/>
          <w:color w:val="333333"/>
          <w:sz w:val="30"/>
          <w:szCs w:val="30"/>
        </w:rPr>
      </w:pPr>
      <w:r w:rsidRPr="00DD47DA">
        <w:rPr>
          <w:rStyle w:val="NormalCharacter"/>
          <w:rFonts w:ascii="仿宋" w:eastAsia="仿宋" w:hAnsi="仿宋"/>
          <w:b/>
          <w:color w:val="333333"/>
          <w:kern w:val="0"/>
          <w:sz w:val="30"/>
          <w:szCs w:val="30"/>
        </w:rPr>
        <w:lastRenderedPageBreak/>
        <w:t xml:space="preserve">第四条 </w:t>
      </w:r>
      <w:r w:rsidRPr="00DD47DA">
        <w:rPr>
          <w:rStyle w:val="NormalCharacter"/>
          <w:b/>
          <w:kern w:val="0"/>
        </w:rPr>
        <w:t xml:space="preserve"> </w:t>
      </w:r>
      <w:r w:rsidRPr="004F51AD">
        <w:rPr>
          <w:rFonts w:ascii="仿宋" w:eastAsia="仿宋" w:hAnsi="仿宋"/>
          <w:color w:val="333333"/>
          <w:sz w:val="30"/>
          <w:szCs w:val="30"/>
          <w:highlight w:val="white"/>
        </w:rPr>
        <w:t>自然资源 财政、住房城乡建设、国有资产监督管理、税务、市场监管、金融等相关部门按照各自职责，密切配合，共同做好建设用地使用权转让、出租和抵押的管理工作。</w:t>
      </w:r>
    </w:p>
    <w:p w:rsidR="00005A48" w:rsidRPr="00624590" w:rsidRDefault="0090074D" w:rsidP="00B1576A">
      <w:pPr>
        <w:spacing w:line="560" w:lineRule="exact"/>
        <w:jc w:val="center"/>
        <w:rPr>
          <w:rFonts w:ascii="仿宋" w:eastAsia="仿宋" w:hAnsi="仿宋"/>
          <w:b/>
          <w:color w:val="333333"/>
          <w:sz w:val="30"/>
          <w:szCs w:val="30"/>
          <w:highlight w:val="white"/>
        </w:rPr>
      </w:pPr>
      <w:r w:rsidRPr="00624590">
        <w:rPr>
          <w:rFonts w:ascii="仿宋" w:eastAsia="仿宋" w:hAnsi="仿宋"/>
          <w:b/>
          <w:color w:val="333333"/>
          <w:sz w:val="30"/>
          <w:szCs w:val="30"/>
          <w:highlight w:val="white"/>
        </w:rPr>
        <w:t>第二章 建设用地使用权转让</w:t>
      </w:r>
    </w:p>
    <w:p w:rsidR="00005A48" w:rsidRPr="004F51AD" w:rsidRDefault="0090074D" w:rsidP="00B1576A">
      <w:pPr>
        <w:spacing w:line="560" w:lineRule="exact"/>
        <w:ind w:firstLineChars="200" w:firstLine="602"/>
        <w:rPr>
          <w:rStyle w:val="NormalCharacter"/>
          <w:rFonts w:ascii="仿宋" w:eastAsia="仿宋" w:hAnsi="仿宋"/>
          <w:color w:val="FF0000"/>
          <w:sz w:val="30"/>
          <w:szCs w:val="30"/>
        </w:rPr>
      </w:pPr>
      <w:r w:rsidRPr="0019320A">
        <w:rPr>
          <w:rStyle w:val="NormalCharacter"/>
          <w:rFonts w:ascii="仿宋" w:eastAsia="仿宋" w:hAnsi="仿宋"/>
          <w:b/>
          <w:color w:val="333333"/>
          <w:kern w:val="0"/>
          <w:sz w:val="30"/>
          <w:szCs w:val="30"/>
        </w:rPr>
        <w:t>第五条</w:t>
      </w:r>
      <w:r w:rsidRPr="004F51AD">
        <w:rPr>
          <w:rStyle w:val="NormalCharacter"/>
          <w:rFonts w:ascii="仿宋" w:eastAsia="仿宋" w:hAnsi="仿宋"/>
          <w:color w:val="333333"/>
          <w:kern w:val="0"/>
          <w:sz w:val="30"/>
          <w:szCs w:val="30"/>
        </w:rPr>
        <w:t xml:space="preserve"> 各类建设用地使用权发生转移的行为都视为建设用地使用权转让，包括买卖、交换、赠与、出资以及司法处置、资产处置、法人或其他组织合并或分立等形式涉及的建设用地使用权转移。建设用地使用权转让须符合产权明晰、来源合法等前置条件，并取得不动产权（国有土地使用权）登记证书。建设用地使用权转移的，地上建筑物、其它附着物所有权一并转移。涉及到房地产转让的，按照房地产转让相关法律法规规定办理转让手续。</w:t>
      </w:r>
    </w:p>
    <w:p w:rsidR="00005A48" w:rsidRPr="004F51AD" w:rsidRDefault="0090074D" w:rsidP="00B1576A">
      <w:pPr>
        <w:spacing w:line="560" w:lineRule="exact"/>
        <w:ind w:firstLineChars="200" w:firstLine="602"/>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第六条</w:t>
      </w:r>
      <w:r w:rsidRPr="004F51AD">
        <w:rPr>
          <w:rStyle w:val="NormalCharacter"/>
          <w:rFonts w:ascii="仿宋" w:eastAsia="仿宋" w:hAnsi="仿宋"/>
          <w:color w:val="333333"/>
          <w:kern w:val="0"/>
          <w:sz w:val="30"/>
          <w:szCs w:val="30"/>
        </w:rPr>
        <w:t xml:space="preserve"> 以划拨方式取得的建设用地使用权转让，应向市自然资源和规划部门申请，经市政府批准。转让后土地用途符合《划拨用地目录</w:t>
      </w:r>
      <w:r w:rsidRPr="004F51AD">
        <w:rPr>
          <w:rStyle w:val="NormalCharacter"/>
          <w:rFonts w:ascii="仿宋" w:eastAsia="仿宋" w:hAnsi="仿宋"/>
          <w:color w:val="000000"/>
          <w:sz w:val="30"/>
          <w:szCs w:val="30"/>
        </w:rPr>
        <w:t>（原国土资源部令第9号）</w:t>
      </w:r>
      <w:r w:rsidRPr="004F51AD">
        <w:rPr>
          <w:rStyle w:val="NormalCharacter"/>
          <w:rFonts w:ascii="仿宋" w:eastAsia="仿宋" w:hAnsi="仿宋"/>
          <w:color w:val="333333"/>
          <w:kern w:val="0"/>
          <w:sz w:val="30"/>
          <w:szCs w:val="30"/>
        </w:rPr>
        <w:t>》，可不补缴土地出让价款，保留划拨方式按转移登记办理。不符合《划拨用地目录》或受让人申请变更为有偿使用的，在符合规划的前提下，由受让方依法依规办理土地使用权出让手续，补缴土地出让价款。</w:t>
      </w:r>
    </w:p>
    <w:p w:rsidR="00005A48" w:rsidRPr="004F51AD" w:rsidRDefault="0090074D" w:rsidP="00B1576A">
      <w:pPr>
        <w:spacing w:line="560" w:lineRule="exact"/>
        <w:ind w:firstLine="640"/>
        <w:rPr>
          <w:rStyle w:val="NormalCharacter"/>
          <w:rFonts w:ascii="仿宋" w:eastAsia="仿宋" w:hAnsi="仿宋"/>
          <w:color w:val="333333"/>
          <w:kern w:val="0"/>
          <w:sz w:val="30"/>
          <w:szCs w:val="30"/>
        </w:rPr>
      </w:pPr>
      <w:r w:rsidRPr="0019320A">
        <w:rPr>
          <w:rStyle w:val="NormalCharacter"/>
          <w:rFonts w:ascii="仿宋" w:eastAsia="仿宋" w:hAnsi="仿宋"/>
          <w:b/>
          <w:color w:val="333333"/>
          <w:kern w:val="0"/>
          <w:sz w:val="30"/>
          <w:szCs w:val="30"/>
        </w:rPr>
        <w:t>第七条</w:t>
      </w:r>
      <w:r w:rsidRPr="004F51AD">
        <w:rPr>
          <w:rStyle w:val="NormalCharacter"/>
          <w:rFonts w:ascii="仿宋" w:eastAsia="仿宋" w:hAnsi="仿宋"/>
          <w:color w:val="333333"/>
          <w:kern w:val="0"/>
          <w:sz w:val="30"/>
          <w:szCs w:val="30"/>
        </w:rPr>
        <w:t xml:space="preserve"> 以出让方式取得的建设用地使用权转让，在符合法律法规规定和出让合同约定，且不损害公共利益和相关权利人合法权益的前提下，应充分保障交易自由，依法办理转让手续和不动产登记。原出让合同对转让条件另有约定的，从其约定。</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4F51AD">
        <w:rPr>
          <w:rFonts w:ascii="仿宋" w:eastAsia="仿宋" w:hAnsi="仿宋"/>
          <w:color w:val="333333"/>
          <w:sz w:val="30"/>
          <w:szCs w:val="30"/>
          <w:highlight w:val="white"/>
        </w:rPr>
        <w:t>实行预告登记转让制度，</w:t>
      </w:r>
      <w:r w:rsidRPr="004F51AD">
        <w:rPr>
          <w:rStyle w:val="NormalCharacter"/>
          <w:rFonts w:ascii="仿宋" w:eastAsia="仿宋" w:hAnsi="仿宋"/>
          <w:color w:val="333333"/>
          <w:kern w:val="0"/>
          <w:sz w:val="30"/>
          <w:szCs w:val="30"/>
        </w:rPr>
        <w:t>以出让方式取得的建设用地使用权转让且建设工程投资额（投资额可委托有资质的机构认定）未达到总投资额25%的，</w:t>
      </w:r>
      <w:r w:rsidRPr="004F51AD">
        <w:rPr>
          <w:rFonts w:ascii="仿宋" w:eastAsia="仿宋" w:hAnsi="仿宋"/>
          <w:color w:val="333333"/>
          <w:sz w:val="30"/>
          <w:szCs w:val="30"/>
          <w:highlight w:val="white"/>
        </w:rPr>
        <w:t>按照“先投入后转让”原则，交易双方先行签订国有建设</w:t>
      </w:r>
      <w:r w:rsidRPr="004F51AD">
        <w:rPr>
          <w:rFonts w:ascii="仿宋" w:eastAsia="仿宋" w:hAnsi="仿宋"/>
          <w:color w:val="333333"/>
          <w:sz w:val="30"/>
          <w:szCs w:val="30"/>
          <w:highlight w:val="white"/>
        </w:rPr>
        <w:lastRenderedPageBreak/>
        <w:t>用地使用权转让合同，经市自然资源主管部门备案后，办理预告登记（预告登记不发生不动产权利主体法律责任义务转移），待达到转让条件后，再依法办理不动产转移登记。</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4F51AD">
        <w:rPr>
          <w:rFonts w:ascii="仿宋" w:eastAsia="仿宋" w:hAnsi="仿宋"/>
          <w:color w:val="333333"/>
          <w:sz w:val="30"/>
          <w:szCs w:val="30"/>
          <w:highlight w:val="white"/>
        </w:rPr>
        <w:t>预告登记后，债权消灭或者自能够进行不动产登记之日起90日内未申请登记的，预告登记失效。</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第八条</w:t>
      </w:r>
      <w:r w:rsidRPr="004F51AD">
        <w:rPr>
          <w:rStyle w:val="NormalCharacter"/>
          <w:rFonts w:ascii="仿宋" w:eastAsia="仿宋" w:hAnsi="仿宋"/>
          <w:color w:val="333333"/>
          <w:kern w:val="0"/>
          <w:sz w:val="30"/>
          <w:szCs w:val="30"/>
        </w:rPr>
        <w:t xml:space="preserve"> 以作价出资或入股方式取得的建设用地使用权转让，参照以出让方式取得的建设用地使用权转让的有关规定执行，不再报经原批准建设用地使用权作价出资或入股的机关批准。转让后，权利性质可以保留为作价出资（入股）方式，也可根据权利人申请直接变更为“出让”方式。</w:t>
      </w:r>
    </w:p>
    <w:p w:rsidR="00005A48" w:rsidRPr="004F51AD" w:rsidRDefault="0090074D" w:rsidP="00B1576A">
      <w:pPr>
        <w:spacing w:line="560" w:lineRule="exact"/>
        <w:ind w:firstLine="640"/>
        <w:rPr>
          <w:rStyle w:val="NormalCharacter"/>
          <w:rFonts w:ascii="仿宋" w:eastAsia="仿宋" w:hAnsi="仿宋"/>
          <w:color w:val="333333"/>
          <w:kern w:val="0"/>
          <w:sz w:val="30"/>
          <w:szCs w:val="30"/>
        </w:rPr>
      </w:pPr>
      <w:r w:rsidRPr="0019320A">
        <w:rPr>
          <w:rStyle w:val="NormalCharacter"/>
          <w:rFonts w:ascii="仿宋" w:eastAsia="仿宋" w:hAnsi="仿宋"/>
          <w:b/>
          <w:color w:val="333333"/>
          <w:kern w:val="0"/>
          <w:sz w:val="30"/>
          <w:szCs w:val="30"/>
        </w:rPr>
        <w:t xml:space="preserve">第九条 </w:t>
      </w:r>
      <w:r w:rsidRPr="004F51AD">
        <w:rPr>
          <w:rStyle w:val="NormalCharacter"/>
          <w:rFonts w:ascii="仿宋" w:eastAsia="仿宋" w:hAnsi="仿宋"/>
          <w:color w:val="333333"/>
          <w:kern w:val="0"/>
          <w:sz w:val="30"/>
          <w:szCs w:val="30"/>
        </w:rPr>
        <w:t>以授权经营方式取得的建设用地使用权转让，在使用年限内可依法在集团公司直属企业、控股企业、参股企业之间转让，直接办理不动产登记手续。但改变土地用途或向集团公司以外的单位或个人转让时，应报自然资源主管部门批准，</w:t>
      </w:r>
      <w:r w:rsidRPr="004F51AD">
        <w:rPr>
          <w:rFonts w:ascii="仿宋" w:eastAsia="仿宋" w:hAnsi="仿宋"/>
          <w:color w:val="333333"/>
          <w:sz w:val="30"/>
          <w:szCs w:val="30"/>
          <w:highlight w:val="white"/>
        </w:rPr>
        <w:t>依照有关规定重新签订土地使用权出让合同，并补缴土地出让价款。</w:t>
      </w:r>
    </w:p>
    <w:p w:rsidR="00005A48" w:rsidRPr="004F51AD" w:rsidRDefault="0090074D" w:rsidP="00B1576A">
      <w:pPr>
        <w:spacing w:line="560" w:lineRule="exact"/>
        <w:ind w:firstLine="640"/>
        <w:rPr>
          <w:rStyle w:val="NormalCharacter"/>
          <w:rFonts w:ascii="仿宋" w:eastAsia="仿宋" w:hAnsi="仿宋"/>
          <w:color w:val="333333"/>
          <w:kern w:val="0"/>
          <w:sz w:val="30"/>
          <w:szCs w:val="30"/>
        </w:rPr>
      </w:pPr>
      <w:r w:rsidRPr="0019320A">
        <w:rPr>
          <w:rStyle w:val="NormalCharacter"/>
          <w:rFonts w:ascii="仿宋" w:eastAsia="仿宋" w:hAnsi="仿宋"/>
          <w:b/>
          <w:color w:val="333333"/>
          <w:kern w:val="0"/>
          <w:sz w:val="30"/>
          <w:szCs w:val="30"/>
        </w:rPr>
        <w:t xml:space="preserve">第十条 </w:t>
      </w:r>
      <w:r w:rsidRPr="004F51AD">
        <w:rPr>
          <w:rStyle w:val="NormalCharacter"/>
          <w:rFonts w:ascii="仿宋" w:eastAsia="仿宋" w:hAnsi="仿宋"/>
          <w:color w:val="333333"/>
          <w:kern w:val="0"/>
          <w:sz w:val="30"/>
          <w:szCs w:val="30"/>
        </w:rPr>
        <w:t>以租赁方式取得的建设用地使用权转让的，承租土地使用权由第三人取得，租赁合同经更名后继续有效。</w:t>
      </w:r>
    </w:p>
    <w:p w:rsidR="00005A48" w:rsidRPr="00624590" w:rsidRDefault="0090074D" w:rsidP="00B1576A">
      <w:pPr>
        <w:spacing w:line="560" w:lineRule="exact"/>
        <w:ind w:firstLine="640"/>
        <w:rPr>
          <w:rStyle w:val="NormalCharacter"/>
          <w:rFonts w:ascii="仿宋" w:eastAsia="仿宋" w:hAnsi="仿宋"/>
          <w:color w:val="000000" w:themeColor="text1"/>
          <w:sz w:val="30"/>
          <w:szCs w:val="30"/>
        </w:rPr>
      </w:pPr>
      <w:r w:rsidRPr="0019320A">
        <w:rPr>
          <w:rStyle w:val="NormalCharacter"/>
          <w:rFonts w:ascii="仿宋" w:eastAsia="仿宋" w:hAnsi="仿宋"/>
          <w:b/>
          <w:color w:val="333333"/>
          <w:kern w:val="0"/>
          <w:sz w:val="30"/>
          <w:szCs w:val="30"/>
        </w:rPr>
        <w:t xml:space="preserve">第十一条  </w:t>
      </w:r>
      <w:r w:rsidRPr="004F51AD">
        <w:rPr>
          <w:rFonts w:ascii="仿宋" w:eastAsia="仿宋" w:hAnsi="仿宋"/>
          <w:color w:val="333333"/>
          <w:sz w:val="30"/>
          <w:szCs w:val="30"/>
          <w:highlight w:val="white"/>
        </w:rPr>
        <w:t>建设用地使用权分割、合并转让由权利人申请，</w:t>
      </w:r>
      <w:r w:rsidRPr="004F51AD">
        <w:rPr>
          <w:rStyle w:val="NormalCharacter"/>
          <w:rFonts w:ascii="仿宋" w:eastAsia="仿宋" w:hAnsi="仿宋"/>
          <w:color w:val="333333"/>
          <w:kern w:val="0"/>
          <w:sz w:val="30"/>
          <w:szCs w:val="30"/>
        </w:rPr>
        <w:t>经自然资源主管部门同意后，按照法定程序办理。拟分割、合并的宗地应当权属清晰，且</w:t>
      </w:r>
      <w:r w:rsidRPr="00624590">
        <w:rPr>
          <w:rStyle w:val="NormalCharacter"/>
          <w:rFonts w:ascii="仿宋" w:eastAsia="仿宋" w:hAnsi="仿宋"/>
          <w:color w:val="000000" w:themeColor="text1"/>
          <w:kern w:val="0"/>
          <w:sz w:val="30"/>
          <w:szCs w:val="30"/>
        </w:rPr>
        <w:t>已依法办理不动产登记。宗地分割、合并后应具备独立分宗条件，满足规划、消防、用水、用电、用气和采暖等要求，分割后应保障双方的正常通行等其他权利，不影响生产、经营和独立使用功能。涉及公共配套设施建设和使用的，转让双方应在合同中明确有关权利义务。拟分割宗地已预售或存在多个权利主体的，应取得相</w:t>
      </w:r>
      <w:r w:rsidRPr="00624590">
        <w:rPr>
          <w:rStyle w:val="NormalCharacter"/>
          <w:rFonts w:ascii="仿宋" w:eastAsia="仿宋" w:hAnsi="仿宋"/>
          <w:color w:val="000000" w:themeColor="text1"/>
          <w:kern w:val="0"/>
          <w:sz w:val="30"/>
          <w:szCs w:val="30"/>
        </w:rPr>
        <w:lastRenderedPageBreak/>
        <w:t>关权利人同意，不得损害权利人合法权益</w:t>
      </w:r>
      <w:r w:rsidRPr="00624590">
        <w:rPr>
          <w:rFonts w:ascii="仿宋" w:eastAsia="仿宋" w:hAnsi="仿宋"/>
          <w:color w:val="000000" w:themeColor="text1"/>
          <w:sz w:val="30"/>
          <w:szCs w:val="30"/>
          <w:highlight w:val="white"/>
        </w:rPr>
        <w:t>。建设用地使用权属于同一权利人、用途相同且相邻的，经自然资源主管部门同意后可以合并，以合并前各宗土地的剩余年限综合确定合并宗地后的土地使用年限，但不得超过该用途的法定最高年限。</w:t>
      </w:r>
    </w:p>
    <w:p w:rsidR="00005A48" w:rsidRPr="004F51AD" w:rsidRDefault="0090074D" w:rsidP="00B1576A">
      <w:pPr>
        <w:spacing w:line="560" w:lineRule="exact"/>
        <w:ind w:firstLine="640"/>
        <w:rPr>
          <w:rFonts w:ascii="仿宋" w:eastAsia="仿宋" w:hAnsi="仿宋"/>
          <w:color w:val="333333"/>
          <w:sz w:val="30"/>
          <w:szCs w:val="30"/>
        </w:rPr>
      </w:pPr>
      <w:r w:rsidRPr="00624590">
        <w:rPr>
          <w:rStyle w:val="NormalCharacter"/>
          <w:rFonts w:ascii="仿宋" w:eastAsia="仿宋" w:hAnsi="仿宋"/>
          <w:color w:val="000000" w:themeColor="text1"/>
          <w:kern w:val="0"/>
          <w:sz w:val="30"/>
          <w:szCs w:val="30"/>
        </w:rPr>
        <w:t>用地批准文件、土地出让合同及监管协议规定不</w:t>
      </w:r>
      <w:r w:rsidRPr="004F51AD">
        <w:rPr>
          <w:rStyle w:val="NormalCharacter"/>
          <w:rFonts w:ascii="仿宋" w:eastAsia="仿宋" w:hAnsi="仿宋"/>
          <w:color w:val="333333"/>
          <w:kern w:val="0"/>
          <w:sz w:val="30"/>
          <w:szCs w:val="30"/>
        </w:rPr>
        <w:t>得分割转让的，从其规定。</w:t>
      </w:r>
    </w:p>
    <w:p w:rsidR="00005A48" w:rsidRPr="00624590" w:rsidRDefault="0090074D" w:rsidP="00B1576A">
      <w:pPr>
        <w:spacing w:line="560" w:lineRule="exact"/>
        <w:ind w:firstLine="640"/>
        <w:rPr>
          <w:rStyle w:val="NormalCharacter"/>
          <w:rFonts w:ascii="仿宋" w:eastAsia="仿宋" w:hAnsi="仿宋"/>
          <w:color w:val="000000" w:themeColor="text1"/>
          <w:sz w:val="30"/>
          <w:szCs w:val="30"/>
        </w:rPr>
      </w:pPr>
      <w:r w:rsidRPr="004F51AD">
        <w:rPr>
          <w:rStyle w:val="NormalCharacter"/>
          <w:rFonts w:ascii="仿宋" w:eastAsia="仿宋" w:hAnsi="仿宋"/>
          <w:color w:val="333333"/>
          <w:kern w:val="0"/>
          <w:sz w:val="30"/>
          <w:szCs w:val="30"/>
        </w:rPr>
        <w:t>分割或合并后的土地容积率等规划条件，由自然资源主管部门在批准分割、合并时予以明确。分割后的容积率不得突破片区控制性规</w:t>
      </w:r>
      <w:r w:rsidRPr="00624590">
        <w:rPr>
          <w:rStyle w:val="NormalCharacter"/>
          <w:rFonts w:ascii="仿宋" w:eastAsia="仿宋" w:hAnsi="仿宋"/>
          <w:color w:val="000000" w:themeColor="text1"/>
          <w:kern w:val="0"/>
          <w:sz w:val="30"/>
          <w:szCs w:val="30"/>
        </w:rPr>
        <w:t>划上限，分割合并后的地块按新规划条件重新核定土地价款，并报市政府备案。</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第十二条</w:t>
      </w:r>
      <w:r w:rsidRPr="00624590">
        <w:rPr>
          <w:rStyle w:val="NormalCharacter"/>
          <w:rFonts w:ascii="仿宋" w:eastAsia="仿宋" w:hAnsi="仿宋"/>
          <w:color w:val="000000" w:themeColor="text1"/>
          <w:kern w:val="0"/>
          <w:sz w:val="30"/>
          <w:szCs w:val="30"/>
        </w:rPr>
        <w:t xml:space="preserve"> 土地出让时签订工业项目“标准地”履约监管协议（以下简称监管协议</w:t>
      </w:r>
      <w:r w:rsidRPr="004F51AD">
        <w:rPr>
          <w:rStyle w:val="NormalCharacter"/>
          <w:rFonts w:ascii="仿宋" w:eastAsia="仿宋" w:hAnsi="仿宋"/>
          <w:color w:val="333333"/>
          <w:kern w:val="0"/>
          <w:sz w:val="30"/>
          <w:szCs w:val="30"/>
        </w:rPr>
        <w:t>）的，应达到出让合同和监管协议约定的亩均投资强度、亩均税收、容积率和环境标准等条件，由监管协议执行单位就是否存在限制转让情形出具书面意见。“标准地”全部或部分建设用地使用权转让后，相关权利义务随之转移，“标准地”约定条件不变。</w:t>
      </w:r>
    </w:p>
    <w:p w:rsidR="00005A48" w:rsidRPr="004F51AD" w:rsidRDefault="0090074D" w:rsidP="00B1576A">
      <w:pPr>
        <w:spacing w:line="560" w:lineRule="exact"/>
        <w:ind w:firstLine="640"/>
        <w:rPr>
          <w:rFonts w:ascii="仿宋" w:eastAsia="仿宋" w:hAnsi="仿宋"/>
          <w:color w:val="333333"/>
          <w:sz w:val="30"/>
          <w:szCs w:val="30"/>
        </w:rPr>
      </w:pPr>
      <w:r w:rsidRPr="004F51AD">
        <w:rPr>
          <w:rFonts w:ascii="仿宋" w:eastAsia="仿宋" w:hAnsi="仿宋"/>
          <w:color w:val="333333"/>
          <w:sz w:val="30"/>
          <w:szCs w:val="30"/>
        </w:rPr>
        <w:t>分割转让工业用地，涉及标准厂房的可按照独立使用的幢、层等权属界线封闭的空间为基本单元分割转让，但不得改变土地和房屋用途；涉及新型产业项目的，在达到《国有建设用地使用权出让合同》 和《工业项目“标准地”履约监管协议》约定条件后，允许对产业用房依规依约分割、转移登记，以共用形式取得土地使用权的不再单独分割。鼓励围多建少类低效工业用地企业将空闲土地分割转让或者由政府依法收回后重新利用。</w:t>
      </w:r>
    </w:p>
    <w:p w:rsidR="00005A48" w:rsidRPr="004F51AD" w:rsidRDefault="0090074D" w:rsidP="00B1576A">
      <w:pPr>
        <w:spacing w:line="560" w:lineRule="exact"/>
        <w:jc w:val="left"/>
        <w:rPr>
          <w:rFonts w:ascii="仿宋" w:eastAsia="仿宋" w:hAnsi="仿宋"/>
          <w:color w:val="333333"/>
          <w:sz w:val="30"/>
          <w:szCs w:val="30"/>
        </w:rPr>
      </w:pPr>
      <w:r w:rsidRPr="004F51AD">
        <w:rPr>
          <w:rFonts w:ascii="仿宋" w:eastAsia="仿宋" w:hAnsi="仿宋"/>
          <w:color w:val="000000"/>
          <w:sz w:val="30"/>
          <w:szCs w:val="30"/>
          <w:highlight w:val="white"/>
        </w:rPr>
        <w:t>工业项目配建的行政办公楼、生活服务设施等不得单独分割转让。</w:t>
      </w:r>
    </w:p>
    <w:p w:rsidR="00005A48" w:rsidRPr="00624590" w:rsidRDefault="0090074D" w:rsidP="00B1576A">
      <w:pPr>
        <w:spacing w:line="560" w:lineRule="exact"/>
        <w:jc w:val="center"/>
        <w:rPr>
          <w:rStyle w:val="NormalCharacter"/>
          <w:rFonts w:ascii="仿宋" w:eastAsia="仿宋" w:hAnsi="仿宋"/>
          <w:b/>
          <w:color w:val="000000"/>
          <w:sz w:val="30"/>
          <w:szCs w:val="30"/>
        </w:rPr>
      </w:pPr>
      <w:r w:rsidRPr="004F51AD">
        <w:rPr>
          <w:rFonts w:ascii="仿宋" w:eastAsia="仿宋" w:hAnsi="仿宋"/>
          <w:b/>
          <w:color w:val="000000"/>
          <w:sz w:val="30"/>
          <w:szCs w:val="30"/>
          <w:highlight w:val="white"/>
        </w:rPr>
        <w:lastRenderedPageBreak/>
        <w:t xml:space="preserve"> </w:t>
      </w:r>
      <w:r w:rsidRPr="00624590">
        <w:rPr>
          <w:rStyle w:val="NormalCharacter"/>
          <w:b/>
          <w:color w:val="333333"/>
          <w:kern w:val="0"/>
        </w:rPr>
        <w:t xml:space="preserve"> </w:t>
      </w:r>
      <w:r w:rsidRPr="00624590">
        <w:rPr>
          <w:rStyle w:val="NormalCharacter"/>
          <w:rFonts w:ascii="仿宋" w:eastAsia="仿宋" w:hAnsi="仿宋"/>
          <w:b/>
          <w:sz w:val="30"/>
          <w:szCs w:val="30"/>
        </w:rPr>
        <w:t xml:space="preserve"> 第三章 建设用地使用权出租</w:t>
      </w:r>
    </w:p>
    <w:p w:rsidR="00005A48" w:rsidRPr="00624590" w:rsidRDefault="0090074D" w:rsidP="00B1576A">
      <w:pPr>
        <w:spacing w:line="560" w:lineRule="exact"/>
        <w:ind w:firstLine="640"/>
        <w:rPr>
          <w:rStyle w:val="NormalCharacter"/>
          <w:rFonts w:ascii="仿宋" w:eastAsia="仿宋" w:hAnsi="仿宋"/>
          <w:color w:val="000000" w:themeColor="text1"/>
          <w:sz w:val="30"/>
          <w:szCs w:val="30"/>
        </w:rPr>
      </w:pPr>
      <w:r w:rsidRPr="0019320A">
        <w:rPr>
          <w:rStyle w:val="NormalCharacter"/>
          <w:rFonts w:ascii="仿宋" w:eastAsia="仿宋" w:hAnsi="仿宋"/>
          <w:b/>
          <w:color w:val="333333"/>
          <w:kern w:val="0"/>
          <w:sz w:val="30"/>
          <w:szCs w:val="30"/>
        </w:rPr>
        <w:t xml:space="preserve">第十三条 </w:t>
      </w:r>
      <w:r w:rsidRPr="004F51AD">
        <w:rPr>
          <w:rStyle w:val="NormalCharacter"/>
          <w:rFonts w:ascii="仿宋" w:eastAsia="仿宋" w:hAnsi="仿宋"/>
          <w:color w:val="333333"/>
          <w:kern w:val="0"/>
          <w:sz w:val="30"/>
          <w:szCs w:val="30"/>
        </w:rPr>
        <w:t>建设用地使用权可以整宗出租，也可以部分出租。建设用地使用权出租时，其地上建筑物、其它附着物同时出租。共有建设用地使用权出租的，应取得其他共有人同意。抵押权设立前，建设用地使用权已经出租并转移占有的，原租赁关系不受该抵押权的影响。</w:t>
      </w:r>
    </w:p>
    <w:p w:rsidR="00005A48" w:rsidRPr="00624590" w:rsidRDefault="0090074D" w:rsidP="00B1576A">
      <w:pPr>
        <w:spacing w:line="560" w:lineRule="exact"/>
        <w:ind w:firstLine="640"/>
        <w:rPr>
          <w:rStyle w:val="NormalCharacter"/>
          <w:rFonts w:ascii="仿宋" w:eastAsia="仿宋" w:hAnsi="仿宋"/>
          <w:color w:val="000000" w:themeColor="text1"/>
          <w:sz w:val="30"/>
          <w:szCs w:val="30"/>
        </w:rPr>
      </w:pPr>
      <w:r w:rsidRPr="0019320A">
        <w:rPr>
          <w:rStyle w:val="NormalCharacter"/>
          <w:rFonts w:ascii="仿宋" w:eastAsia="仿宋" w:hAnsi="仿宋"/>
          <w:b/>
          <w:color w:val="333333"/>
          <w:kern w:val="0"/>
          <w:sz w:val="30"/>
          <w:szCs w:val="30"/>
        </w:rPr>
        <w:t xml:space="preserve">第十四条 </w:t>
      </w:r>
      <w:r w:rsidRPr="00624590">
        <w:rPr>
          <w:rStyle w:val="NormalCharacter"/>
          <w:rFonts w:ascii="仿宋" w:eastAsia="仿宋" w:hAnsi="仿宋"/>
          <w:color w:val="000000" w:themeColor="text1"/>
          <w:kern w:val="0"/>
          <w:sz w:val="30"/>
          <w:szCs w:val="30"/>
        </w:rPr>
        <w:t>划拨建设用地使用权出租的，应按照有关规定上缴租金中所含土地收益，纳入土地出让收入管理范围。宗地长期出租</w:t>
      </w:r>
      <w:r w:rsidRPr="00624590">
        <w:rPr>
          <w:rFonts w:ascii="仿宋" w:eastAsia="仿宋" w:hAnsi="仿宋"/>
          <w:color w:val="000000" w:themeColor="text1"/>
          <w:sz w:val="30"/>
          <w:szCs w:val="30"/>
          <w:highlight w:val="white"/>
        </w:rPr>
        <w:t>或部分用于出租且可分割的（租赁年限超过5年），应依法补办出让、租赁等有偿使用手续。</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4F51AD">
        <w:rPr>
          <w:rStyle w:val="NormalCharacter"/>
          <w:rFonts w:ascii="仿宋" w:eastAsia="仿宋" w:hAnsi="仿宋"/>
          <w:color w:val="333333"/>
          <w:kern w:val="0"/>
          <w:sz w:val="30"/>
          <w:szCs w:val="30"/>
        </w:rPr>
        <w:t>建立划拨建设用地使用权出租收益年度申报制度，不再另行单独办理划拨建设用地使用权出租的批准手续。自然资源、财政及相关部门应制定修订管理办法，动态更新出租收益缴纳标准，规范申报缴纳工作。</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第十五条 </w:t>
      </w:r>
      <w:r w:rsidRPr="004F51AD">
        <w:rPr>
          <w:rStyle w:val="NormalCharacter"/>
          <w:rFonts w:ascii="仿宋" w:eastAsia="仿宋" w:hAnsi="仿宋"/>
          <w:color w:val="333333"/>
          <w:kern w:val="0"/>
          <w:sz w:val="30"/>
          <w:szCs w:val="30"/>
        </w:rPr>
        <w:t>以出让、租赁、作价出资或入股等有偿方式取得的建设用地使用权出租或转租的，应当签订建设用地使用权出租合同（转租合同），不得违反法律法规和有偿使用合同的相关约定，出租年限应小于原有偿使用合同约定的剩余年期，最长不超过20年。</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4F51AD">
        <w:rPr>
          <w:rStyle w:val="NormalCharacter"/>
          <w:rFonts w:ascii="仿宋" w:eastAsia="仿宋" w:hAnsi="仿宋"/>
          <w:color w:val="333333"/>
          <w:kern w:val="0"/>
          <w:sz w:val="30"/>
          <w:szCs w:val="30"/>
        </w:rPr>
        <w:t>以“标准地”出让方式取得的建设用地使用权出租或转租的，应达到出让合同和监管协议约定的亩均投资强度、亩均税收、容积率和环境标准等条件，由监管协议执行单位就是否存在限制出租或转租情形出具书面意见。“标准地”全部或部分建设用地使用权出租或转租后相关权利义务随之转移，“标准地”约定条件不变。</w:t>
      </w:r>
    </w:p>
    <w:p w:rsidR="00005A48" w:rsidRPr="00624590" w:rsidRDefault="0090074D" w:rsidP="00B1576A">
      <w:pPr>
        <w:spacing w:line="560" w:lineRule="exact"/>
        <w:jc w:val="center"/>
        <w:rPr>
          <w:rStyle w:val="NormalCharacter"/>
          <w:rFonts w:ascii="仿宋" w:eastAsia="仿宋" w:hAnsi="仿宋"/>
          <w:b/>
          <w:color w:val="333333"/>
          <w:kern w:val="0"/>
          <w:sz w:val="30"/>
          <w:szCs w:val="30"/>
        </w:rPr>
      </w:pPr>
      <w:r w:rsidRPr="00624590">
        <w:rPr>
          <w:rStyle w:val="NormalCharacter"/>
          <w:rFonts w:ascii="仿宋" w:eastAsia="仿宋" w:hAnsi="仿宋"/>
          <w:b/>
          <w:color w:val="333333"/>
          <w:kern w:val="0"/>
          <w:sz w:val="30"/>
          <w:szCs w:val="30"/>
        </w:rPr>
        <w:t>第四章 建设用地使用权抵押</w:t>
      </w:r>
    </w:p>
    <w:p w:rsidR="00005A48" w:rsidRPr="004F51AD" w:rsidRDefault="0090074D" w:rsidP="00B1576A">
      <w:pPr>
        <w:spacing w:line="560" w:lineRule="exact"/>
        <w:ind w:firstLineChars="200" w:firstLine="602"/>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lastRenderedPageBreak/>
        <w:t>第十六条</w:t>
      </w:r>
      <w:r w:rsidRPr="004F51AD">
        <w:rPr>
          <w:rStyle w:val="NormalCharacter"/>
          <w:rFonts w:ascii="仿宋" w:eastAsia="仿宋" w:hAnsi="仿宋"/>
          <w:color w:val="333333"/>
          <w:kern w:val="0"/>
          <w:sz w:val="30"/>
          <w:szCs w:val="30"/>
        </w:rPr>
        <w:t xml:space="preserve"> 以划拨方式取得的建设用地使用权抵押时，自然资源主管部门依法办理抵押登记手续，即视同批准，不再另行办理抵押审批手续。在划拨用地抵押权实现时，抵押权人应当按照有关规定缴纳建设用地使用权出让金及相关税费后，可行使优先受偿权，其有关要求应在</w:t>
      </w:r>
      <w:r w:rsidRPr="004F51AD">
        <w:rPr>
          <w:rStyle w:val="NormalCharacter"/>
          <w:rFonts w:ascii="仿宋" w:eastAsia="仿宋" w:hAnsi="仿宋"/>
          <w:color w:val="FF0000"/>
          <w:kern w:val="0"/>
          <w:sz w:val="30"/>
          <w:szCs w:val="30"/>
        </w:rPr>
        <w:t>抵押合同</w:t>
      </w:r>
      <w:r w:rsidRPr="004F51AD">
        <w:rPr>
          <w:rStyle w:val="NormalCharacter"/>
          <w:rFonts w:ascii="仿宋" w:eastAsia="仿宋" w:hAnsi="仿宋"/>
          <w:color w:val="333333"/>
          <w:kern w:val="0"/>
          <w:sz w:val="30"/>
          <w:szCs w:val="30"/>
        </w:rPr>
        <w:t>、不动产登记簿及不动产登记证明上进行说明备注；以出让、作价出资或入股等方式取得的建设用地使用权，法律法规无特别规定、出让合同无特别约定以及作价出资（入股）法律文件无特别规定的，不限制其抵押</w:t>
      </w:r>
      <w:r w:rsidRPr="004F51AD">
        <w:rPr>
          <w:rStyle w:val="NormalCharacter"/>
          <w:rFonts w:ascii="仿宋" w:eastAsia="仿宋" w:hAnsi="仿宋"/>
          <w:color w:val="FF0000"/>
          <w:kern w:val="0"/>
          <w:sz w:val="30"/>
          <w:szCs w:val="30"/>
        </w:rPr>
        <w:t>；</w:t>
      </w:r>
      <w:r w:rsidRPr="004F51AD">
        <w:rPr>
          <w:rStyle w:val="NormalCharacter"/>
          <w:rFonts w:ascii="仿宋" w:eastAsia="仿宋" w:hAnsi="仿宋"/>
          <w:color w:val="333333"/>
          <w:kern w:val="0"/>
          <w:sz w:val="30"/>
          <w:szCs w:val="30"/>
        </w:rPr>
        <w:t>以授权经营方式取得建设用地使用权的，依法依规批准后可以设定抵押权；以租赁方式取得的建设用地使用权，承租人在按规定支付土地租金并完成开发建设后，根据租赁合同约定，出租人同意抵押的，其地上建筑物、其它附着物连同建设用地使用权可以依法一并抵押，抵押期限不得超过租赁期限。</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第十七条 </w:t>
      </w:r>
      <w:r w:rsidRPr="004F51AD">
        <w:rPr>
          <w:rStyle w:val="NormalCharacter"/>
          <w:rFonts w:ascii="仿宋" w:eastAsia="仿宋" w:hAnsi="仿宋"/>
          <w:color w:val="333333"/>
          <w:kern w:val="0"/>
          <w:sz w:val="30"/>
          <w:szCs w:val="30"/>
        </w:rPr>
        <w:t>自然人、企业均可作为抵押权人申请以建设用地使用权及其地上建筑物、其它附着物所有权办理不动产抵押相关手续。以建设用地使用权抵押的，该土地上建筑物、其它附着物一并抵押。涉及企业、个人之间债权债务合同的须符合有关法律法规规定。建设用地使用权连同地上建筑物、其它附着物抵押同时设定多个抵押权的，应载明抵押权顺位。</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第十八条 </w:t>
      </w:r>
      <w:r w:rsidRPr="004F51AD">
        <w:rPr>
          <w:rStyle w:val="NormalCharacter"/>
          <w:rFonts w:ascii="仿宋" w:eastAsia="仿宋" w:hAnsi="仿宋"/>
          <w:color w:val="333333"/>
          <w:kern w:val="0"/>
          <w:sz w:val="30"/>
          <w:szCs w:val="30"/>
        </w:rPr>
        <w:t>允许营利性的养老、教育、文化、体育以及医疗卫生等社会领域企业以有偿方式取得的建设用地使用权、设施等财产进行抵押融资，所获融资专项用于原抵押人自身发展，不得挪作他用，不得为第三方提供担保。相关监管部门应依据相关法律法规等规定依法监管，</w:t>
      </w:r>
      <w:r w:rsidRPr="004F51AD">
        <w:rPr>
          <w:rStyle w:val="NormalCharacter"/>
          <w:rFonts w:ascii="仿宋" w:eastAsia="仿宋" w:hAnsi="仿宋"/>
          <w:color w:val="000000"/>
          <w:sz w:val="30"/>
          <w:szCs w:val="30"/>
        </w:rPr>
        <w:t>完善抵押权实现时保障原有经营活动持续稳定的配套措施，确保土地用途不改变、利益相关人权益不受损</w:t>
      </w:r>
      <w:r w:rsidRPr="004F51AD">
        <w:rPr>
          <w:rStyle w:val="NormalCharacter"/>
          <w:rFonts w:ascii="仿宋" w:eastAsia="仿宋" w:hAnsi="仿宋"/>
          <w:color w:val="333333"/>
          <w:kern w:val="0"/>
          <w:sz w:val="30"/>
          <w:szCs w:val="30"/>
        </w:rPr>
        <w:t>。通过政府、银行、保险</w:t>
      </w:r>
      <w:r w:rsidRPr="004F51AD">
        <w:rPr>
          <w:rStyle w:val="NormalCharacter"/>
          <w:rFonts w:ascii="仿宋" w:eastAsia="仿宋" w:hAnsi="仿宋"/>
          <w:color w:val="333333"/>
          <w:kern w:val="0"/>
          <w:sz w:val="30"/>
          <w:szCs w:val="30"/>
        </w:rPr>
        <w:lastRenderedPageBreak/>
        <w:t>业金融机构等多方合作，探索建立建设用地使用权抵押风险提示和抵押资金监管机制，防控市场风险，维护土地、金融市场秩序。</w:t>
      </w:r>
    </w:p>
    <w:p w:rsidR="00005A48" w:rsidRPr="00624590" w:rsidRDefault="0090074D" w:rsidP="00B1576A">
      <w:pPr>
        <w:spacing w:line="560" w:lineRule="exact"/>
        <w:jc w:val="center"/>
        <w:rPr>
          <w:rStyle w:val="NormalCharacter"/>
          <w:rFonts w:ascii="仿宋" w:eastAsia="仿宋" w:hAnsi="仿宋"/>
          <w:color w:val="333333"/>
          <w:kern w:val="0"/>
          <w:sz w:val="30"/>
          <w:szCs w:val="30"/>
        </w:rPr>
      </w:pPr>
      <w:r w:rsidRPr="00624590">
        <w:rPr>
          <w:rStyle w:val="a3"/>
          <w:rFonts w:ascii="仿宋" w:eastAsia="仿宋" w:hAnsi="仿宋"/>
          <w:color w:val="333333"/>
          <w:kern w:val="0"/>
          <w:sz w:val="30"/>
          <w:szCs w:val="30"/>
        </w:rPr>
        <w:t>第</w:t>
      </w:r>
      <w:r w:rsidR="00624590">
        <w:rPr>
          <w:rStyle w:val="a3"/>
          <w:rFonts w:ascii="仿宋" w:eastAsia="仿宋" w:hAnsi="仿宋" w:hint="eastAsia"/>
          <w:color w:val="333333"/>
          <w:kern w:val="0"/>
          <w:sz w:val="30"/>
          <w:szCs w:val="30"/>
        </w:rPr>
        <w:t>五</w:t>
      </w:r>
      <w:r w:rsidRPr="00624590">
        <w:rPr>
          <w:rStyle w:val="a3"/>
          <w:rFonts w:ascii="仿宋" w:eastAsia="仿宋" w:hAnsi="仿宋"/>
          <w:color w:val="333333"/>
          <w:kern w:val="0"/>
          <w:sz w:val="30"/>
          <w:szCs w:val="30"/>
        </w:rPr>
        <w:t>章 交易市场监督管理</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第十九条</w:t>
      </w:r>
      <w:r w:rsidRPr="004F51AD">
        <w:rPr>
          <w:rFonts w:ascii="仿宋" w:eastAsia="仿宋" w:hAnsi="仿宋"/>
          <w:color w:val="333333"/>
          <w:sz w:val="30"/>
          <w:szCs w:val="30"/>
          <w:highlight w:val="white"/>
        </w:rPr>
        <w:t xml:space="preserve"> 全面梳理土地转让、出租、抵押各业务环节，建立“信息发布—达成意向—签订合同—交易监管”操作流程，完善交易申请、受理、审核、信息发布、交易事务办理、价款和税费缴纳、归档等程序，制定土地市场交易合同示范文本，明确使用规则。</w:t>
      </w:r>
    </w:p>
    <w:p w:rsidR="00005A48" w:rsidRPr="004F51AD" w:rsidRDefault="0090074D" w:rsidP="00B1576A">
      <w:pPr>
        <w:spacing w:line="560" w:lineRule="exact"/>
        <w:ind w:firstLineChars="200" w:firstLine="602"/>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第二十条 </w:t>
      </w:r>
      <w:r w:rsidRPr="004F51AD">
        <w:rPr>
          <w:rStyle w:val="NormalCharacter"/>
          <w:rFonts w:ascii="仿宋" w:eastAsia="仿宋" w:hAnsi="仿宋"/>
          <w:color w:val="333333"/>
          <w:kern w:val="0"/>
          <w:sz w:val="30"/>
          <w:szCs w:val="30"/>
        </w:rPr>
        <w:t>交易双方可自行协商交易，也可委托土地二级市场交易平台公开交易，其中涉及以划拨、协议出让等方式取得的建设用地使用权转让、出租的，应纳入土地二级市场交易平台公开交易。交易双方应依法申报交易价格，申报价格比标定地价低20%以上的，市政府可行使优先购买权。申报价格或挂牌竞价不合理上涨时</w:t>
      </w:r>
      <w:r w:rsidRPr="004F51AD">
        <w:rPr>
          <w:rFonts w:ascii="仿宋" w:eastAsia="仿宋" w:hAnsi="仿宋"/>
          <w:color w:val="333333"/>
          <w:sz w:val="30"/>
          <w:szCs w:val="30"/>
          <w:highlight w:val="white"/>
        </w:rPr>
        <w:t>，市政府可以采取必要的措施予以熔断。</w:t>
      </w:r>
    </w:p>
    <w:p w:rsidR="00005A48" w:rsidRPr="004F51AD" w:rsidRDefault="0090074D" w:rsidP="00B1576A">
      <w:pPr>
        <w:spacing w:line="560" w:lineRule="exact"/>
        <w:ind w:firstLineChars="200" w:firstLine="602"/>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第二十一条 </w:t>
      </w:r>
      <w:r w:rsidRPr="004F51AD">
        <w:rPr>
          <w:rStyle w:val="NormalCharacter"/>
          <w:rFonts w:ascii="仿宋" w:eastAsia="仿宋" w:hAnsi="仿宋"/>
          <w:color w:val="333333"/>
          <w:kern w:val="0"/>
          <w:sz w:val="30"/>
          <w:szCs w:val="30"/>
        </w:rPr>
        <w:t>涉及建设用地使用权司法处置的案件，司法机关在处置决定作出前应向自然资源部门了解涉案建设用地使用权情况，防止因信息不对称造成土地处置后难以转移登记或无法开发利用等纠纷。司法处置土地可进入市级土地二级市场交易平台交易。对涉地司法处置信息，司法机关应及时通知或传递给当地税务机关，协助税务机关依法实现税款及时足额入库，防止税收流失。</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4F51AD">
        <w:rPr>
          <w:rStyle w:val="NormalCharacter"/>
          <w:rFonts w:ascii="仿宋" w:eastAsia="仿宋" w:hAnsi="仿宋"/>
          <w:color w:val="333333"/>
          <w:kern w:val="0"/>
          <w:sz w:val="30"/>
          <w:szCs w:val="30"/>
        </w:rPr>
        <w:t>政府有关部门、事业单位进行国有资产处置时，涉及划拨建设用地使用权转移的，在公开交易前应征求自然资源、财政</w:t>
      </w:r>
      <w:r w:rsidRPr="004F51AD">
        <w:rPr>
          <w:rFonts w:ascii="仿宋" w:eastAsia="仿宋" w:hAnsi="仿宋"/>
          <w:color w:val="333333"/>
          <w:sz w:val="30"/>
          <w:szCs w:val="30"/>
          <w:highlight w:val="white"/>
        </w:rPr>
        <w:t>、国有资产监管等部门意见，并将宗地有关情况如实告知当事人。经依法批准，转让国有企业或公有经济成分占主导地位的企业以及行政事业单位名下的建设用地使用权的，应当通过土地二级市场交易平台公开交易。原</w:t>
      </w:r>
      <w:r w:rsidRPr="004F51AD">
        <w:rPr>
          <w:rFonts w:ascii="仿宋" w:eastAsia="仿宋" w:hAnsi="仿宋"/>
          <w:color w:val="333333"/>
          <w:sz w:val="30"/>
          <w:szCs w:val="30"/>
          <w:highlight w:val="white"/>
        </w:rPr>
        <w:lastRenderedPageBreak/>
        <w:t>属公共服务设施用地的，在符合规划的前提下优先用于公共服务设施建设。自然资源、住房城乡建设、税务、市场监管等部门应加强对涉地股权转让的联合监管。建设用地使用权转让、出租、抵押涉及房地产转让、出租、抵押的，住房城乡建设部门与自然资源部门应当加强信息共享。</w:t>
      </w:r>
    </w:p>
    <w:p w:rsidR="00005A48" w:rsidRPr="004F51AD" w:rsidRDefault="0090074D" w:rsidP="00B1576A">
      <w:pPr>
        <w:spacing w:line="560" w:lineRule="exact"/>
        <w:ind w:firstLineChars="200" w:firstLine="602"/>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第二十二条 </w:t>
      </w:r>
      <w:r w:rsidRPr="004F51AD">
        <w:rPr>
          <w:rFonts w:ascii="仿宋" w:eastAsia="仿宋" w:hAnsi="仿宋"/>
          <w:color w:val="333333"/>
          <w:sz w:val="30"/>
          <w:szCs w:val="30"/>
          <w:highlight w:val="white"/>
        </w:rPr>
        <w:t>在土地二级市场交易机构或平台内汇集交易、登记、税务、金融等相关部门的办事窗口，大力发展“互联网+政务服务”，推进“一窗受理、一网通办、一站办结”。</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第二十三条 </w:t>
      </w:r>
      <w:r w:rsidRPr="004F51AD">
        <w:rPr>
          <w:rFonts w:ascii="仿宋" w:eastAsia="仿宋" w:hAnsi="仿宋"/>
          <w:color w:val="333333"/>
          <w:sz w:val="30"/>
          <w:szCs w:val="30"/>
          <w:highlight w:val="white"/>
        </w:rPr>
        <w:t>发挥社会中介组织在市场交易活动中的桥梁作用，为交易各方提供推介、展示、咨询、估价、经纪等服务。</w:t>
      </w:r>
    </w:p>
    <w:p w:rsidR="00005A48" w:rsidRPr="004F51AD" w:rsidRDefault="0090074D" w:rsidP="00B1576A">
      <w:pPr>
        <w:spacing w:line="560" w:lineRule="exact"/>
        <w:ind w:firstLineChars="200" w:firstLine="602"/>
        <w:rPr>
          <w:rStyle w:val="NormalCharacter"/>
          <w:rFonts w:ascii="仿宋" w:eastAsia="仿宋" w:hAnsi="仿宋"/>
          <w:color w:val="333333"/>
          <w:kern w:val="0"/>
          <w:sz w:val="30"/>
          <w:szCs w:val="30"/>
        </w:rPr>
      </w:pPr>
      <w:r w:rsidRPr="0019320A">
        <w:rPr>
          <w:rStyle w:val="NormalCharacter"/>
          <w:rFonts w:ascii="仿宋" w:eastAsia="仿宋" w:hAnsi="仿宋"/>
          <w:b/>
          <w:color w:val="333333"/>
          <w:kern w:val="0"/>
          <w:sz w:val="30"/>
          <w:szCs w:val="30"/>
        </w:rPr>
        <w:t xml:space="preserve">第二十四条 </w:t>
      </w:r>
      <w:r w:rsidRPr="004F51AD">
        <w:rPr>
          <w:rStyle w:val="NormalCharacter"/>
          <w:rFonts w:ascii="仿宋" w:eastAsia="仿宋" w:hAnsi="仿宋"/>
          <w:color w:val="333333"/>
          <w:kern w:val="0"/>
          <w:sz w:val="30"/>
          <w:szCs w:val="30"/>
        </w:rPr>
        <w:t>建立健全土地二级市场动态监测监管制度，与不动产登记系统有效衔接，全面掌握土地二级市场有关信息，综合分析研判市场形势，定期发布市场动态信息，强化土地一、二级市场联动和整体调控。健全以“双随机、一公开”为基本手段、以重点监管为补充、以信用监管为基础的新型监管机制，将相关市场主体及中介服务从业人员信用记录纳入省公共信用信息平台和国家企业信用信息公示系统（河南），实行信息归集共享，对失信责任主体实施联合惩戒。</w:t>
      </w:r>
    </w:p>
    <w:p w:rsidR="00005A48" w:rsidRPr="004F51AD" w:rsidRDefault="0090074D" w:rsidP="00B1576A">
      <w:pPr>
        <w:spacing w:line="560" w:lineRule="exact"/>
        <w:ind w:firstLineChars="200" w:firstLine="602"/>
        <w:rPr>
          <w:rStyle w:val="NormalCharacter"/>
          <w:rFonts w:ascii="仿宋" w:eastAsia="仿宋" w:hAnsi="仿宋"/>
          <w:color w:val="333333"/>
          <w:kern w:val="0"/>
          <w:sz w:val="30"/>
          <w:szCs w:val="30"/>
        </w:rPr>
      </w:pPr>
      <w:r w:rsidRPr="0019320A">
        <w:rPr>
          <w:rStyle w:val="NormalCharacter"/>
          <w:rFonts w:ascii="仿宋" w:eastAsia="仿宋" w:hAnsi="仿宋"/>
          <w:b/>
          <w:color w:val="333333"/>
          <w:kern w:val="0"/>
          <w:sz w:val="30"/>
          <w:szCs w:val="30"/>
        </w:rPr>
        <w:t>第二十五条</w:t>
      </w:r>
      <w:r w:rsidRPr="004F51AD">
        <w:rPr>
          <w:rStyle w:val="NormalCharacter"/>
          <w:rFonts w:ascii="仿宋" w:eastAsia="仿宋" w:hAnsi="仿宋"/>
          <w:color w:val="333333"/>
          <w:kern w:val="0"/>
          <w:sz w:val="30"/>
          <w:szCs w:val="30"/>
        </w:rPr>
        <w:t xml:space="preserve"> 各有关部门要严格执行土地二级市场相关规定，对违反规定、损害土地使用权人利益、破坏土地市场秩序的行为要坚决打击；对违反规定的部门（单位）及责任人员要依法依规追究责任，坚决维护土地二级市场交易秩序。</w:t>
      </w:r>
    </w:p>
    <w:p w:rsidR="00005A48" w:rsidRPr="00624590" w:rsidRDefault="0090074D" w:rsidP="00B1576A">
      <w:pPr>
        <w:spacing w:line="560" w:lineRule="exact"/>
        <w:jc w:val="center"/>
        <w:rPr>
          <w:rStyle w:val="NormalCharacter"/>
          <w:rFonts w:ascii="仿宋" w:eastAsia="仿宋" w:hAnsi="仿宋"/>
          <w:color w:val="333333"/>
          <w:kern w:val="0"/>
          <w:sz w:val="30"/>
          <w:szCs w:val="30"/>
        </w:rPr>
      </w:pPr>
      <w:r w:rsidRPr="00624590">
        <w:rPr>
          <w:rStyle w:val="a3"/>
          <w:rFonts w:ascii="仿宋" w:eastAsia="仿宋" w:hAnsi="仿宋"/>
          <w:color w:val="333333"/>
          <w:kern w:val="0"/>
          <w:sz w:val="30"/>
          <w:szCs w:val="30"/>
        </w:rPr>
        <w:t>第</w:t>
      </w:r>
      <w:r w:rsidR="00624590" w:rsidRPr="00624590">
        <w:rPr>
          <w:rStyle w:val="a3"/>
          <w:rFonts w:ascii="仿宋" w:eastAsia="仿宋" w:hAnsi="仿宋" w:hint="eastAsia"/>
          <w:color w:val="333333"/>
          <w:kern w:val="0"/>
          <w:sz w:val="30"/>
          <w:szCs w:val="30"/>
        </w:rPr>
        <w:t>六</w:t>
      </w:r>
      <w:r w:rsidRPr="00624590">
        <w:rPr>
          <w:rStyle w:val="a3"/>
          <w:rFonts w:ascii="仿宋" w:eastAsia="仿宋" w:hAnsi="仿宋"/>
          <w:color w:val="333333"/>
          <w:kern w:val="0"/>
          <w:sz w:val="30"/>
          <w:szCs w:val="30"/>
        </w:rPr>
        <w:t>章 附则</w:t>
      </w:r>
    </w:p>
    <w:p w:rsidR="00005A48" w:rsidRPr="004F51AD" w:rsidRDefault="0090074D" w:rsidP="00B1576A">
      <w:pPr>
        <w:spacing w:line="560" w:lineRule="exact"/>
        <w:ind w:firstLine="640"/>
        <w:rPr>
          <w:rStyle w:val="NormalCharacter"/>
          <w:rFonts w:ascii="仿宋" w:eastAsia="仿宋" w:hAnsi="仿宋"/>
          <w:color w:val="333333"/>
          <w:sz w:val="30"/>
          <w:szCs w:val="30"/>
        </w:rPr>
      </w:pPr>
      <w:r w:rsidRPr="0019320A">
        <w:rPr>
          <w:rStyle w:val="NormalCharacter"/>
          <w:rFonts w:ascii="仿宋" w:eastAsia="仿宋" w:hAnsi="仿宋"/>
          <w:b/>
          <w:color w:val="333333"/>
          <w:kern w:val="0"/>
          <w:sz w:val="30"/>
          <w:szCs w:val="30"/>
        </w:rPr>
        <w:t xml:space="preserve">第二十六条 </w:t>
      </w:r>
      <w:r w:rsidRPr="004F51AD">
        <w:rPr>
          <w:rStyle w:val="NormalCharacter"/>
          <w:rFonts w:ascii="仿宋" w:eastAsia="仿宋" w:hAnsi="仿宋"/>
          <w:color w:val="333333"/>
          <w:kern w:val="0"/>
          <w:sz w:val="30"/>
          <w:szCs w:val="30"/>
        </w:rPr>
        <w:t>本办法自公布之日起施行，有效期五年。</w:t>
      </w:r>
    </w:p>
    <w:p w:rsidR="00005A48" w:rsidRPr="004F51AD" w:rsidRDefault="0090074D" w:rsidP="00B1576A">
      <w:pPr>
        <w:spacing w:line="560" w:lineRule="exact"/>
        <w:ind w:firstLineChars="1900" w:firstLine="5700"/>
        <w:rPr>
          <w:rStyle w:val="NormalCharacter"/>
          <w:rFonts w:ascii="仿宋" w:eastAsia="仿宋" w:hAnsi="仿宋"/>
          <w:sz w:val="30"/>
          <w:szCs w:val="30"/>
        </w:rPr>
      </w:pPr>
      <w:r w:rsidRPr="004F51AD">
        <w:rPr>
          <w:rStyle w:val="NormalCharacter"/>
          <w:rFonts w:ascii="仿宋" w:eastAsia="仿宋" w:hAnsi="仿宋"/>
          <w:color w:val="333333"/>
          <w:sz w:val="30"/>
          <w:szCs w:val="30"/>
        </w:rPr>
        <w:t>2022年 月 日</w:t>
      </w:r>
      <w:r w:rsidRPr="004F51AD">
        <w:rPr>
          <w:rStyle w:val="NormalCharacter"/>
          <w:rFonts w:ascii="Times New Roman" w:eastAsia="仿宋" w:hAnsi="Times New Roman"/>
          <w:color w:val="333333"/>
          <w:sz w:val="30"/>
          <w:szCs w:val="30"/>
        </w:rPr>
        <w:t> </w:t>
      </w:r>
    </w:p>
    <w:sectPr w:rsidR="00005A48" w:rsidRPr="004F51AD" w:rsidSect="004F51AD">
      <w:footerReference w:type="default" r:id="rId7"/>
      <w:pgSz w:w="11906" w:h="16838"/>
      <w:pgMar w:top="1361" w:right="1361" w:bottom="1361"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E79" w:rsidRDefault="00453E79" w:rsidP="004F51AD">
      <w:r>
        <w:separator/>
      </w:r>
    </w:p>
  </w:endnote>
  <w:endnote w:type="continuationSeparator" w:id="0">
    <w:p w:rsidR="00453E79" w:rsidRDefault="00453E79" w:rsidP="004F5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303231"/>
      <w:docPartObj>
        <w:docPartGallery w:val="Page Numbers (Bottom of Page)"/>
        <w:docPartUnique/>
      </w:docPartObj>
    </w:sdtPr>
    <w:sdtContent>
      <w:p w:rsidR="00F32068" w:rsidRDefault="00A259AA">
        <w:pPr>
          <w:pStyle w:val="a5"/>
          <w:jc w:val="center"/>
        </w:pPr>
        <w:r w:rsidRPr="00F32068">
          <w:rPr>
            <w:sz w:val="24"/>
            <w:szCs w:val="24"/>
          </w:rPr>
          <w:fldChar w:fldCharType="begin"/>
        </w:r>
        <w:r w:rsidR="00F32068" w:rsidRPr="00F32068">
          <w:rPr>
            <w:sz w:val="24"/>
            <w:szCs w:val="24"/>
          </w:rPr>
          <w:instrText xml:space="preserve"> PAGE   \* MERGEFORMAT </w:instrText>
        </w:r>
        <w:r w:rsidRPr="00F32068">
          <w:rPr>
            <w:sz w:val="24"/>
            <w:szCs w:val="24"/>
          </w:rPr>
          <w:fldChar w:fldCharType="separate"/>
        </w:r>
        <w:r w:rsidR="00DD47DA" w:rsidRPr="00DD47DA">
          <w:rPr>
            <w:noProof/>
            <w:sz w:val="24"/>
            <w:szCs w:val="24"/>
            <w:lang w:val="zh-CN"/>
          </w:rPr>
          <w:t>2</w:t>
        </w:r>
        <w:r w:rsidRPr="00F32068">
          <w:rPr>
            <w:sz w:val="24"/>
            <w:szCs w:val="24"/>
          </w:rPr>
          <w:fldChar w:fldCharType="end"/>
        </w:r>
      </w:p>
    </w:sdtContent>
  </w:sdt>
  <w:p w:rsidR="00F32068" w:rsidRDefault="00F3206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E79" w:rsidRDefault="00453E79" w:rsidP="004F51AD">
      <w:r>
        <w:separator/>
      </w:r>
    </w:p>
  </w:footnote>
  <w:footnote w:type="continuationSeparator" w:id="0">
    <w:p w:rsidR="00453E79" w:rsidRDefault="00453E79" w:rsidP="004F51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005A48"/>
    <w:rsid w:val="00005A48"/>
    <w:rsid w:val="0019320A"/>
    <w:rsid w:val="00453E79"/>
    <w:rsid w:val="004F51AD"/>
    <w:rsid w:val="00624590"/>
    <w:rsid w:val="006940A8"/>
    <w:rsid w:val="0090074D"/>
    <w:rsid w:val="00A259AA"/>
    <w:rsid w:val="00B1576A"/>
    <w:rsid w:val="00D86D42"/>
    <w:rsid w:val="00DD47DA"/>
    <w:rsid w:val="00EB03FA"/>
    <w:rsid w:val="00F32068"/>
    <w:rsid w:val="00FF36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5A48"/>
    <w:pPr>
      <w:jc w:val="both"/>
      <w:textAlignment w:val="baseline"/>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005A48"/>
  </w:style>
  <w:style w:type="table" w:customStyle="1" w:styleId="TableNormal">
    <w:name w:val="TableNormal"/>
    <w:semiHidden/>
    <w:rsid w:val="00005A48"/>
    <w:tblPr>
      <w:tblCellMar>
        <w:top w:w="0" w:type="dxa"/>
        <w:left w:w="0" w:type="dxa"/>
        <w:bottom w:w="0" w:type="dxa"/>
        <w:right w:w="0" w:type="dxa"/>
      </w:tblCellMar>
    </w:tblPr>
  </w:style>
  <w:style w:type="paragraph" w:customStyle="1" w:styleId="HtmlNormal">
    <w:name w:val="HtmlNormal"/>
    <w:basedOn w:val="a"/>
    <w:rsid w:val="00005A48"/>
    <w:pPr>
      <w:spacing w:before="100" w:beforeAutospacing="1" w:after="100" w:afterAutospacing="1"/>
      <w:jc w:val="left"/>
    </w:pPr>
    <w:rPr>
      <w:kern w:val="0"/>
      <w:sz w:val="24"/>
    </w:rPr>
  </w:style>
  <w:style w:type="character" w:styleId="a3">
    <w:name w:val="Strong"/>
    <w:basedOn w:val="NormalCharacter"/>
    <w:rsid w:val="00005A48"/>
    <w:rPr>
      <w:b/>
    </w:rPr>
  </w:style>
  <w:style w:type="paragraph" w:styleId="a4">
    <w:name w:val="header"/>
    <w:basedOn w:val="a"/>
    <w:link w:val="Char"/>
    <w:uiPriority w:val="99"/>
    <w:semiHidden/>
    <w:unhideWhenUsed/>
    <w:rsid w:val="004F51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F51AD"/>
    <w:rPr>
      <w:rFonts w:ascii="Calibri" w:hAnsi="Calibri"/>
      <w:kern w:val="2"/>
      <w:sz w:val="18"/>
      <w:szCs w:val="18"/>
    </w:rPr>
  </w:style>
  <w:style w:type="paragraph" w:styleId="a5">
    <w:name w:val="footer"/>
    <w:basedOn w:val="a"/>
    <w:link w:val="Char0"/>
    <w:uiPriority w:val="99"/>
    <w:unhideWhenUsed/>
    <w:rsid w:val="004F51AD"/>
    <w:pPr>
      <w:tabs>
        <w:tab w:val="center" w:pos="4153"/>
        <w:tab w:val="right" w:pos="8306"/>
      </w:tabs>
      <w:snapToGrid w:val="0"/>
      <w:jc w:val="left"/>
    </w:pPr>
    <w:rPr>
      <w:sz w:val="18"/>
      <w:szCs w:val="18"/>
    </w:rPr>
  </w:style>
  <w:style w:type="character" w:customStyle="1" w:styleId="Char0">
    <w:name w:val="页脚 Char"/>
    <w:basedOn w:val="a0"/>
    <w:link w:val="a5"/>
    <w:uiPriority w:val="99"/>
    <w:rsid w:val="004F51AD"/>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2593435-F9E7-4728-8915-AC139103D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756</Words>
  <Characters>4310</Characters>
  <Application>Microsoft Office Word</Application>
  <DocSecurity>0</DocSecurity>
  <Lines>35</Lines>
  <Paragraphs>10</Paragraphs>
  <ScaleCrop>false</ScaleCrop>
  <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cp:lastPrinted>2022-05-17T09:06:00Z</cp:lastPrinted>
  <dcterms:created xsi:type="dcterms:W3CDTF">2022-05-17T08:30:00Z</dcterms:created>
  <dcterms:modified xsi:type="dcterms:W3CDTF">2022-05-17T09:09:00Z</dcterms:modified>
</cp:coreProperties>
</file>